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A9" w:rsidRPr="009F770A" w:rsidRDefault="004575ED" w:rsidP="009F770A">
      <w:pPr>
        <w:pStyle w:val="Title"/>
      </w:pPr>
      <w:r w:rsidRPr="00AF259F">
        <w:t>THE AUD</w:t>
      </w:r>
      <w:r w:rsidR="00D91813" w:rsidRPr="00AF259F">
        <w:t xml:space="preserve">IT DEVELOPMENT PROGRAMME </w:t>
      </w:r>
    </w:p>
    <w:p w:rsidR="00097AAD" w:rsidRDefault="00097AAD" w:rsidP="009F770A">
      <w:pPr>
        <w:spacing w:line="360" w:lineRule="auto"/>
        <w:jc w:val="center"/>
        <w:rPr>
          <w:rFonts w:ascii="Arial" w:hAnsi="Arial" w:cs="Arial"/>
          <w:b/>
        </w:rPr>
      </w:pPr>
      <w:r w:rsidRPr="00097AAD">
        <w:rPr>
          <w:rFonts w:ascii="Arial" w:hAnsi="Arial" w:cs="Arial"/>
          <w:b/>
        </w:rPr>
        <w:t>FREQUENTLY ASKED QUESTIONS</w:t>
      </w:r>
    </w:p>
    <w:p w:rsidR="00097AAD" w:rsidRDefault="00097AAD" w:rsidP="00097AAD">
      <w:pPr>
        <w:spacing w:line="360" w:lineRule="auto"/>
        <w:jc w:val="center"/>
        <w:rPr>
          <w:rFonts w:ascii="Arial" w:hAnsi="Arial" w:cs="Arial"/>
          <w:b/>
        </w:rPr>
      </w:pPr>
    </w:p>
    <w:p w:rsidR="00C42439" w:rsidRPr="00C92BA6" w:rsidRDefault="00C42439" w:rsidP="00C42439">
      <w:pPr>
        <w:pStyle w:val="ListParagraph"/>
        <w:numPr>
          <w:ilvl w:val="0"/>
          <w:numId w:val="33"/>
        </w:numPr>
        <w:spacing w:line="360" w:lineRule="auto"/>
        <w:rPr>
          <w:rFonts w:ascii="Arial" w:hAnsi="Arial" w:cs="Arial"/>
          <w:b/>
        </w:rPr>
      </w:pPr>
      <w:r w:rsidRPr="00C92BA6">
        <w:rPr>
          <w:rFonts w:ascii="Arial" w:hAnsi="Arial" w:cs="Arial"/>
          <w:b/>
        </w:rPr>
        <w:t>I wrote PPE and qualified as a CA (SA), do I have to register for the ADP before I can register as an RA?</w:t>
      </w:r>
    </w:p>
    <w:p w:rsidR="00C42439" w:rsidRDefault="00C42439" w:rsidP="00C42439">
      <w:pPr>
        <w:pStyle w:val="ListParagraph"/>
        <w:spacing w:line="360" w:lineRule="auto"/>
        <w:jc w:val="both"/>
        <w:rPr>
          <w:rFonts w:ascii="Arial" w:hAnsi="Arial" w:cs="Arial"/>
        </w:rPr>
      </w:pPr>
      <w:r w:rsidRPr="00C92BA6">
        <w:rPr>
          <w:rFonts w:ascii="Arial" w:hAnsi="Arial" w:cs="Arial"/>
        </w:rPr>
        <w:t xml:space="preserve">No. All candidates who wrote the PPE and qualified as </w:t>
      </w:r>
      <w:proofErr w:type="gramStart"/>
      <w:r w:rsidRPr="00C92BA6">
        <w:rPr>
          <w:rFonts w:ascii="Arial" w:hAnsi="Arial" w:cs="Arial"/>
        </w:rPr>
        <w:t>CA(</w:t>
      </w:r>
      <w:proofErr w:type="gramEnd"/>
      <w:r w:rsidRPr="00C92BA6">
        <w:rPr>
          <w:rFonts w:ascii="Arial" w:hAnsi="Arial" w:cs="Arial"/>
        </w:rPr>
        <w:t xml:space="preserve">SA)s are not required to register for the ADP. They can register as RAs provided they comply with the IRBA's three-year rule. Refer to </w:t>
      </w:r>
      <w:hyperlink r:id="rId8" w:history="1">
        <w:r w:rsidRPr="00C92BA6">
          <w:rPr>
            <w:rFonts w:ascii="Arial" w:hAnsi="Arial" w:cs="Arial"/>
          </w:rPr>
          <w:t>www.irba.co.za</w:t>
        </w:r>
      </w:hyperlink>
      <w:r w:rsidRPr="00C92BA6">
        <w:rPr>
          <w:rFonts w:ascii="Arial" w:hAnsi="Arial" w:cs="Arial"/>
        </w:rPr>
        <w:t xml:space="preserve"> for more details on the proficiency assessments (three-year rule).</w:t>
      </w:r>
    </w:p>
    <w:p w:rsidR="00C42439" w:rsidRPr="00C42439" w:rsidRDefault="00C42439" w:rsidP="00C42439">
      <w:pPr>
        <w:pStyle w:val="ListParagraph"/>
        <w:spacing w:line="360" w:lineRule="auto"/>
        <w:jc w:val="both"/>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Must I register with the IRBA immediately after completing the ADP? </w:t>
      </w:r>
    </w:p>
    <w:p w:rsidR="000552F5" w:rsidRPr="000552F5" w:rsidRDefault="00C92BA6" w:rsidP="00345BD0">
      <w:pPr>
        <w:pStyle w:val="ListParagraph"/>
        <w:spacing w:line="360" w:lineRule="auto"/>
        <w:jc w:val="both"/>
        <w:rPr>
          <w:rFonts w:ascii="Arial" w:hAnsi="Arial" w:cs="Arial"/>
        </w:rPr>
      </w:pPr>
      <w:r>
        <w:rPr>
          <w:rFonts w:ascii="Arial" w:hAnsi="Arial" w:cs="Arial"/>
        </w:rPr>
        <w:t xml:space="preserve">No. </w:t>
      </w:r>
      <w:r w:rsidR="00097AAD">
        <w:rPr>
          <w:rFonts w:ascii="Arial" w:hAnsi="Arial" w:cs="Arial"/>
        </w:rPr>
        <w:t>It is not necessary to register with the IRBA straight after completing the ADP. Completion of the ADP is exactly the same as successfully completing the PPE. You are eligible to register but you can wait unt</w:t>
      </w:r>
      <w:r w:rsidR="00A2341B">
        <w:rPr>
          <w:rFonts w:ascii="Arial" w:hAnsi="Arial" w:cs="Arial"/>
        </w:rPr>
        <w:t>il such time as you</w:t>
      </w:r>
      <w:r w:rsidR="00097AAD">
        <w:rPr>
          <w:rFonts w:ascii="Arial" w:hAnsi="Arial" w:cs="Arial"/>
        </w:rPr>
        <w:t xml:space="preserve"> require the designation. If it is longer than three years until you register, then the three-year rule applies</w:t>
      </w:r>
      <w:r w:rsidR="000552F5">
        <w:rPr>
          <w:rFonts w:ascii="Arial" w:hAnsi="Arial" w:cs="Arial"/>
        </w:rPr>
        <w:t xml:space="preserve"> (See www.irba.co.za)</w:t>
      </w:r>
      <w:r w:rsidR="00097AAD">
        <w:rPr>
          <w:rFonts w:ascii="Arial" w:hAnsi="Arial" w:cs="Arial"/>
        </w:rPr>
        <w:t xml:space="preserve">. </w:t>
      </w:r>
    </w:p>
    <w:p w:rsidR="00097AAD" w:rsidRPr="00097AAD" w:rsidRDefault="00097AAD"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Can an RCA be seconded overseas? </w:t>
      </w:r>
    </w:p>
    <w:p w:rsidR="00097AAD" w:rsidRDefault="000552F5" w:rsidP="00345BD0">
      <w:pPr>
        <w:pStyle w:val="ListParagraph"/>
        <w:spacing w:line="360" w:lineRule="auto"/>
        <w:jc w:val="both"/>
        <w:rPr>
          <w:rFonts w:ascii="Arial" w:hAnsi="Arial" w:cs="Arial"/>
        </w:rPr>
      </w:pPr>
      <w:r>
        <w:rPr>
          <w:rFonts w:ascii="Arial" w:hAnsi="Arial" w:cs="Arial"/>
        </w:rPr>
        <w:t>Yes. T</w:t>
      </w:r>
      <w:r w:rsidR="00097AAD">
        <w:rPr>
          <w:rFonts w:ascii="Arial" w:hAnsi="Arial" w:cs="Arial"/>
        </w:rPr>
        <w:t>ime in an international office can be recorded as part of the ADP provided the firm is kept abreast of the RCA’s performance and the evidence required to support the time spent in another office is retai</w:t>
      </w:r>
      <w:r w:rsidR="00C92BA6">
        <w:rPr>
          <w:rFonts w:ascii="Arial" w:hAnsi="Arial" w:cs="Arial"/>
        </w:rPr>
        <w:t>ned by the firm that employed the</w:t>
      </w:r>
      <w:r w:rsidR="00A2341B">
        <w:rPr>
          <w:rFonts w:ascii="Arial" w:hAnsi="Arial" w:cs="Arial"/>
        </w:rPr>
        <w:t xml:space="preserve"> </w:t>
      </w:r>
      <w:r>
        <w:rPr>
          <w:rFonts w:ascii="Arial" w:hAnsi="Arial" w:cs="Arial"/>
        </w:rPr>
        <w:t>RCA</w:t>
      </w:r>
      <w:r w:rsidR="00097AAD">
        <w:rPr>
          <w:rFonts w:ascii="Arial" w:hAnsi="Arial" w:cs="Arial"/>
        </w:rPr>
        <w:t xml:space="preserve">. In addition, the </w:t>
      </w:r>
      <w:r w:rsidR="002A59A9">
        <w:rPr>
          <w:rFonts w:ascii="Arial" w:hAnsi="Arial" w:cs="Arial"/>
        </w:rPr>
        <w:t>O</w:t>
      </w:r>
      <w:r w:rsidR="00097AAD">
        <w:rPr>
          <w:rFonts w:ascii="Arial" w:hAnsi="Arial" w:cs="Arial"/>
        </w:rPr>
        <w:t xml:space="preserve">RA should be comfortable that sufficient evidence is available </w:t>
      </w:r>
      <w:r w:rsidR="00C51A23">
        <w:rPr>
          <w:rFonts w:ascii="Arial" w:hAnsi="Arial" w:cs="Arial"/>
        </w:rPr>
        <w:t>for</w:t>
      </w:r>
      <w:r w:rsidR="00097AAD">
        <w:rPr>
          <w:rFonts w:ascii="Arial" w:hAnsi="Arial" w:cs="Arial"/>
        </w:rPr>
        <w:t xml:space="preserve"> them to make an assessment of the candidate’s competence. </w:t>
      </w:r>
    </w:p>
    <w:p w:rsidR="00097AAD" w:rsidRDefault="00097AAD"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Will the IRBA penalise me for changing firms?</w:t>
      </w:r>
    </w:p>
    <w:p w:rsidR="00097AAD" w:rsidRDefault="000552F5" w:rsidP="00345BD0">
      <w:pPr>
        <w:spacing w:line="360" w:lineRule="auto"/>
        <w:ind w:left="720"/>
        <w:jc w:val="both"/>
        <w:rPr>
          <w:rFonts w:ascii="Arial" w:hAnsi="Arial" w:cs="Arial"/>
        </w:rPr>
      </w:pPr>
      <w:r>
        <w:rPr>
          <w:rFonts w:ascii="Arial" w:hAnsi="Arial" w:cs="Arial"/>
        </w:rPr>
        <w:t xml:space="preserve">No. The IRBA </w:t>
      </w:r>
      <w:r w:rsidR="00097AAD">
        <w:rPr>
          <w:rFonts w:ascii="Arial" w:hAnsi="Arial" w:cs="Arial"/>
        </w:rPr>
        <w:t xml:space="preserve">will not penalise </w:t>
      </w:r>
      <w:r>
        <w:rPr>
          <w:rFonts w:ascii="Arial" w:hAnsi="Arial" w:cs="Arial"/>
        </w:rPr>
        <w:t xml:space="preserve">you </w:t>
      </w:r>
      <w:r w:rsidR="00097AAD">
        <w:rPr>
          <w:rFonts w:ascii="Arial" w:hAnsi="Arial" w:cs="Arial"/>
        </w:rPr>
        <w:t xml:space="preserve">for changing firms. </w:t>
      </w:r>
      <w:r w:rsidR="00097AAD" w:rsidRPr="00097AAD">
        <w:rPr>
          <w:rFonts w:ascii="Arial" w:hAnsi="Arial" w:cs="Arial"/>
        </w:rPr>
        <w:t xml:space="preserve"> </w:t>
      </w:r>
      <w:r>
        <w:rPr>
          <w:rFonts w:ascii="Arial" w:hAnsi="Arial" w:cs="Arial"/>
        </w:rPr>
        <w:t>It is entirely up to t</w:t>
      </w:r>
      <w:r w:rsidR="00097AAD">
        <w:rPr>
          <w:rFonts w:ascii="Arial" w:hAnsi="Arial" w:cs="Arial"/>
        </w:rPr>
        <w:t xml:space="preserve">he receiving firm </w:t>
      </w:r>
      <w:r>
        <w:rPr>
          <w:rFonts w:ascii="Arial" w:hAnsi="Arial" w:cs="Arial"/>
        </w:rPr>
        <w:t>to decide if they</w:t>
      </w:r>
      <w:r w:rsidR="00A2341B">
        <w:rPr>
          <w:rFonts w:ascii="Arial" w:hAnsi="Arial" w:cs="Arial"/>
        </w:rPr>
        <w:t xml:space="preserve"> either accept or reject the</w:t>
      </w:r>
      <w:r w:rsidR="00097AAD">
        <w:rPr>
          <w:rFonts w:ascii="Arial" w:hAnsi="Arial" w:cs="Arial"/>
        </w:rPr>
        <w:t xml:space="preserve"> six-monthly reports. The receiving firm will determine if additional time must be served to complete the ADP.</w:t>
      </w:r>
      <w:r>
        <w:rPr>
          <w:rFonts w:ascii="Arial" w:hAnsi="Arial" w:cs="Arial"/>
        </w:rPr>
        <w:t xml:space="preserve"> This discussion should be held and agreed upon prior to signing a contract with a new firm. </w:t>
      </w:r>
    </w:p>
    <w:p w:rsidR="00097AAD" w:rsidRPr="00097AAD" w:rsidRDefault="00097AAD" w:rsidP="00097AAD">
      <w:pPr>
        <w:spacing w:line="360" w:lineRule="auto"/>
        <w:ind w:left="720"/>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Can I complete the ADP in less than 18 months? </w:t>
      </w:r>
    </w:p>
    <w:p w:rsidR="000552F5" w:rsidRPr="00C92BA6" w:rsidRDefault="00097AAD" w:rsidP="00C92BA6">
      <w:pPr>
        <w:pStyle w:val="ListParagraph"/>
        <w:spacing w:line="360" w:lineRule="auto"/>
        <w:jc w:val="both"/>
        <w:rPr>
          <w:rFonts w:ascii="Arial" w:hAnsi="Arial" w:cs="Arial"/>
        </w:rPr>
      </w:pPr>
      <w:r>
        <w:rPr>
          <w:rFonts w:ascii="Arial" w:hAnsi="Arial" w:cs="Arial"/>
        </w:rPr>
        <w:t>Yes. A</w:t>
      </w:r>
      <w:r w:rsidR="000552F5">
        <w:rPr>
          <w:rFonts w:ascii="Arial" w:hAnsi="Arial" w:cs="Arial"/>
        </w:rPr>
        <w:t>n RCA who has</w:t>
      </w:r>
      <w:r>
        <w:rPr>
          <w:rFonts w:ascii="Arial" w:hAnsi="Arial" w:cs="Arial"/>
        </w:rPr>
        <w:t xml:space="preserve"> worked at a firm for a considerable length of time and is already w</w:t>
      </w:r>
      <w:r w:rsidR="000552F5">
        <w:rPr>
          <w:rFonts w:ascii="Arial" w:hAnsi="Arial" w:cs="Arial"/>
        </w:rPr>
        <w:t>orking at a more senior level</w:t>
      </w:r>
      <w:r>
        <w:rPr>
          <w:rFonts w:ascii="Arial" w:hAnsi="Arial" w:cs="Arial"/>
        </w:rPr>
        <w:t xml:space="preserve"> on entering the ADP may be able to successfully complete the ADP in less than 18 months</w:t>
      </w:r>
      <w:r w:rsidR="00C92BA6">
        <w:rPr>
          <w:rFonts w:ascii="Arial" w:hAnsi="Arial" w:cs="Arial"/>
        </w:rPr>
        <w:t xml:space="preserve"> through recognition of prior learning (RPL)</w:t>
      </w:r>
      <w:r>
        <w:rPr>
          <w:rFonts w:ascii="Arial" w:hAnsi="Arial" w:cs="Arial"/>
        </w:rPr>
        <w:t>. However,</w:t>
      </w:r>
      <w:r w:rsidR="000552F5">
        <w:rPr>
          <w:rFonts w:ascii="Arial" w:hAnsi="Arial" w:cs="Arial"/>
        </w:rPr>
        <w:t xml:space="preserve"> the Oversight RA must provide</w:t>
      </w:r>
      <w:r w:rsidR="002A59A9">
        <w:rPr>
          <w:rFonts w:ascii="Arial" w:hAnsi="Arial" w:cs="Arial"/>
        </w:rPr>
        <w:t xml:space="preserve"> strong motivation as to how</w:t>
      </w:r>
      <w:r>
        <w:rPr>
          <w:rFonts w:ascii="Arial" w:hAnsi="Arial" w:cs="Arial"/>
        </w:rPr>
        <w:t xml:space="preserve"> the RCA has been able to achieve the required competences in such a relatively short period of time.</w:t>
      </w:r>
      <w:r w:rsidR="00C92BA6">
        <w:rPr>
          <w:rFonts w:ascii="Arial" w:hAnsi="Arial" w:cs="Arial"/>
        </w:rPr>
        <w:t xml:space="preserve"> </w:t>
      </w:r>
    </w:p>
    <w:p w:rsidR="000552F5" w:rsidRDefault="000552F5"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What will the IRBA do in the case of a labour dispute? </w:t>
      </w:r>
    </w:p>
    <w:p w:rsidR="00097AAD" w:rsidRDefault="00097AAD" w:rsidP="00345BD0">
      <w:pPr>
        <w:pStyle w:val="ListParagraph"/>
        <w:spacing w:line="360" w:lineRule="auto"/>
        <w:jc w:val="both"/>
        <w:rPr>
          <w:rFonts w:ascii="Arial" w:hAnsi="Arial" w:cs="Arial"/>
        </w:rPr>
      </w:pPr>
      <w:r>
        <w:rPr>
          <w:rFonts w:ascii="Arial" w:hAnsi="Arial" w:cs="Arial"/>
        </w:rPr>
        <w:t xml:space="preserve">The IRBA does not get involved in any labour disputes or disagreements between the RCA and the firm. The firm’s HR policy will prevail in such circumstances. </w:t>
      </w:r>
    </w:p>
    <w:p w:rsidR="000552F5" w:rsidRDefault="000552F5"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Does the IRBA decide who becomes a partner in my firm? </w:t>
      </w:r>
    </w:p>
    <w:p w:rsidR="00097AAD" w:rsidRDefault="00097AAD" w:rsidP="00345BD0">
      <w:pPr>
        <w:pStyle w:val="ListParagraph"/>
        <w:spacing w:line="360" w:lineRule="auto"/>
        <w:jc w:val="both"/>
        <w:rPr>
          <w:rFonts w:ascii="Arial" w:hAnsi="Arial" w:cs="Arial"/>
        </w:rPr>
      </w:pPr>
      <w:r>
        <w:rPr>
          <w:rFonts w:ascii="Arial" w:hAnsi="Arial" w:cs="Arial"/>
        </w:rPr>
        <w:t>No. The firm’s internal policies and procedures will determine the route and attributes required to become a partner</w:t>
      </w:r>
      <w:r w:rsidR="000552F5">
        <w:rPr>
          <w:rFonts w:ascii="Arial" w:hAnsi="Arial" w:cs="Arial"/>
        </w:rPr>
        <w:t xml:space="preserve"> in that particular firm</w:t>
      </w:r>
      <w:r>
        <w:rPr>
          <w:rFonts w:ascii="Arial" w:hAnsi="Arial" w:cs="Arial"/>
        </w:rPr>
        <w:t xml:space="preserve">. </w:t>
      </w:r>
      <w:r w:rsidR="000552F5">
        <w:rPr>
          <w:rFonts w:ascii="Arial" w:hAnsi="Arial" w:cs="Arial"/>
        </w:rPr>
        <w:t>The IRBA o</w:t>
      </w:r>
      <w:r w:rsidR="00DD05EA">
        <w:rPr>
          <w:rFonts w:ascii="Arial" w:hAnsi="Arial" w:cs="Arial"/>
        </w:rPr>
        <w:t xml:space="preserve">nly makes an assessment of the </w:t>
      </w:r>
      <w:r w:rsidR="000552F5">
        <w:rPr>
          <w:rFonts w:ascii="Arial" w:hAnsi="Arial" w:cs="Arial"/>
        </w:rPr>
        <w:t>R</w:t>
      </w:r>
      <w:r w:rsidR="00DD05EA">
        <w:rPr>
          <w:rFonts w:ascii="Arial" w:hAnsi="Arial" w:cs="Arial"/>
        </w:rPr>
        <w:t>C</w:t>
      </w:r>
      <w:r w:rsidR="000552F5">
        <w:rPr>
          <w:rFonts w:ascii="Arial" w:hAnsi="Arial" w:cs="Arial"/>
        </w:rPr>
        <w:t xml:space="preserve">A’s eligibility to register as an RA. </w:t>
      </w:r>
    </w:p>
    <w:p w:rsidR="00097AAD" w:rsidRDefault="00097AAD" w:rsidP="00097AAD">
      <w:pPr>
        <w:pStyle w:val="ListParagraph"/>
        <w:spacing w:line="360" w:lineRule="auto"/>
        <w:rPr>
          <w:rFonts w:ascii="Arial" w:hAnsi="Arial" w:cs="Arial"/>
        </w:rPr>
      </w:pPr>
    </w:p>
    <w:p w:rsidR="00097AAD" w:rsidRPr="00097AAD" w:rsidRDefault="000552F5" w:rsidP="00097AAD">
      <w:pPr>
        <w:pStyle w:val="ListParagraph"/>
        <w:numPr>
          <w:ilvl w:val="0"/>
          <w:numId w:val="33"/>
        </w:numPr>
        <w:spacing w:line="360" w:lineRule="auto"/>
        <w:rPr>
          <w:rFonts w:ascii="Arial" w:hAnsi="Arial" w:cs="Arial"/>
          <w:b/>
        </w:rPr>
      </w:pPr>
      <w:r>
        <w:rPr>
          <w:rFonts w:ascii="Arial" w:hAnsi="Arial" w:cs="Arial"/>
          <w:b/>
        </w:rPr>
        <w:t>Must I retain</w:t>
      </w:r>
      <w:r w:rsidR="00097AAD" w:rsidRPr="00097AAD">
        <w:rPr>
          <w:rFonts w:ascii="Arial" w:hAnsi="Arial" w:cs="Arial"/>
          <w:b/>
        </w:rPr>
        <w:t xml:space="preserve"> all the candidates who would like to </w:t>
      </w:r>
      <w:r>
        <w:rPr>
          <w:rFonts w:ascii="Arial" w:hAnsi="Arial" w:cs="Arial"/>
          <w:b/>
        </w:rPr>
        <w:t>complete</w:t>
      </w:r>
      <w:r w:rsidR="00097AAD" w:rsidRPr="00097AAD">
        <w:rPr>
          <w:rFonts w:ascii="Arial" w:hAnsi="Arial" w:cs="Arial"/>
          <w:b/>
        </w:rPr>
        <w:t xml:space="preserve"> the ADP? </w:t>
      </w:r>
    </w:p>
    <w:p w:rsidR="00097AAD" w:rsidRDefault="00097AAD" w:rsidP="00345BD0">
      <w:pPr>
        <w:pStyle w:val="ListParagraph"/>
        <w:spacing w:line="360" w:lineRule="auto"/>
        <w:jc w:val="both"/>
        <w:rPr>
          <w:rFonts w:ascii="Arial" w:hAnsi="Arial" w:cs="Arial"/>
        </w:rPr>
      </w:pPr>
      <w:r>
        <w:rPr>
          <w:rFonts w:ascii="Arial" w:hAnsi="Arial" w:cs="Arial"/>
        </w:rPr>
        <w:t xml:space="preserve">The IRBA does not expect the RA firm to retain every single individual who would like to complete the ADP. The firm’s business plan will make that determination. </w:t>
      </w:r>
    </w:p>
    <w:p w:rsidR="00097AAD" w:rsidRDefault="00097AAD" w:rsidP="00097AAD">
      <w:pPr>
        <w:pStyle w:val="ListParagraph"/>
        <w:spacing w:line="360" w:lineRule="auto"/>
        <w:rPr>
          <w:rFonts w:ascii="Arial" w:hAnsi="Arial" w:cs="Arial"/>
        </w:rPr>
      </w:pPr>
    </w:p>
    <w:p w:rsidR="00097AAD" w:rsidRPr="000552F5" w:rsidRDefault="00097AAD" w:rsidP="00097AAD">
      <w:pPr>
        <w:pStyle w:val="ListParagraph"/>
        <w:numPr>
          <w:ilvl w:val="0"/>
          <w:numId w:val="33"/>
        </w:numPr>
        <w:spacing w:line="360" w:lineRule="auto"/>
        <w:rPr>
          <w:rFonts w:ascii="Arial" w:hAnsi="Arial" w:cs="Arial"/>
          <w:b/>
        </w:rPr>
      </w:pPr>
      <w:r w:rsidRPr="000552F5">
        <w:rPr>
          <w:rFonts w:ascii="Arial" w:hAnsi="Arial" w:cs="Arial"/>
          <w:b/>
        </w:rPr>
        <w:t xml:space="preserve">What are the monitoring costs? </w:t>
      </w:r>
    </w:p>
    <w:p w:rsidR="000552F5" w:rsidRDefault="000552F5" w:rsidP="00345BD0">
      <w:pPr>
        <w:pStyle w:val="ListParagraph"/>
        <w:spacing w:line="360" w:lineRule="auto"/>
        <w:jc w:val="both"/>
        <w:rPr>
          <w:rFonts w:ascii="Arial" w:hAnsi="Arial" w:cs="Arial"/>
        </w:rPr>
      </w:pPr>
      <w:r>
        <w:rPr>
          <w:rFonts w:ascii="Arial" w:hAnsi="Arial" w:cs="Arial"/>
        </w:rPr>
        <w:t>There are no costs involved in monito</w:t>
      </w:r>
      <w:r w:rsidR="00A2341B">
        <w:rPr>
          <w:rFonts w:ascii="Arial" w:hAnsi="Arial" w:cs="Arial"/>
        </w:rPr>
        <w:t>ring the firms ADP compliance. Normal i</w:t>
      </w:r>
      <w:r>
        <w:rPr>
          <w:rFonts w:ascii="Arial" w:hAnsi="Arial" w:cs="Arial"/>
        </w:rPr>
        <w:t xml:space="preserve">nspections costs remain in place for the firm inspections. </w:t>
      </w:r>
    </w:p>
    <w:p w:rsidR="000552F5" w:rsidRDefault="000552F5" w:rsidP="000552F5">
      <w:pPr>
        <w:pStyle w:val="ListParagraph"/>
        <w:spacing w:line="360" w:lineRule="auto"/>
        <w:rPr>
          <w:rFonts w:ascii="Arial" w:hAnsi="Arial" w:cs="Arial"/>
        </w:rPr>
      </w:pPr>
    </w:p>
    <w:p w:rsidR="00097AAD" w:rsidRPr="00C92BA6" w:rsidRDefault="00097AAD" w:rsidP="00097AAD">
      <w:pPr>
        <w:pStyle w:val="ListParagraph"/>
        <w:numPr>
          <w:ilvl w:val="0"/>
          <w:numId w:val="33"/>
        </w:numPr>
        <w:spacing w:line="360" w:lineRule="auto"/>
        <w:rPr>
          <w:rFonts w:ascii="Arial" w:hAnsi="Arial" w:cs="Arial"/>
          <w:b/>
        </w:rPr>
      </w:pPr>
      <w:r w:rsidRPr="00C92BA6">
        <w:rPr>
          <w:rFonts w:ascii="Arial" w:hAnsi="Arial" w:cs="Arial"/>
          <w:b/>
        </w:rPr>
        <w:t>Can we make use of the</w:t>
      </w:r>
      <w:r w:rsidR="004C0C17" w:rsidRPr="00C92BA6">
        <w:rPr>
          <w:rFonts w:ascii="Arial" w:hAnsi="Arial" w:cs="Arial"/>
          <w:b/>
        </w:rPr>
        <w:t xml:space="preserve"> current</w:t>
      </w:r>
      <w:r w:rsidRPr="00C92BA6">
        <w:rPr>
          <w:rFonts w:ascii="Arial" w:hAnsi="Arial" w:cs="Arial"/>
          <w:b/>
        </w:rPr>
        <w:t xml:space="preserve"> training </w:t>
      </w:r>
      <w:r w:rsidR="004C0C17" w:rsidRPr="00C92BA6">
        <w:rPr>
          <w:rFonts w:ascii="Arial" w:hAnsi="Arial" w:cs="Arial"/>
          <w:b/>
        </w:rPr>
        <w:t xml:space="preserve">officer </w:t>
      </w:r>
      <w:r w:rsidRPr="00C92BA6">
        <w:rPr>
          <w:rFonts w:ascii="Arial" w:hAnsi="Arial" w:cs="Arial"/>
          <w:b/>
        </w:rPr>
        <w:t xml:space="preserve">structures </w:t>
      </w:r>
      <w:r w:rsidR="004C0C17" w:rsidRPr="00C92BA6">
        <w:rPr>
          <w:rFonts w:ascii="Arial" w:hAnsi="Arial" w:cs="Arial"/>
          <w:b/>
        </w:rPr>
        <w:t>for the role of the ORA</w:t>
      </w:r>
      <w:r w:rsidRPr="00C92BA6">
        <w:rPr>
          <w:rFonts w:ascii="Arial" w:hAnsi="Arial" w:cs="Arial"/>
          <w:b/>
        </w:rPr>
        <w:t>?</w:t>
      </w:r>
    </w:p>
    <w:p w:rsidR="000552F5" w:rsidRDefault="000552F5" w:rsidP="00345BD0">
      <w:pPr>
        <w:pStyle w:val="ListParagraph"/>
        <w:spacing w:line="360" w:lineRule="auto"/>
        <w:jc w:val="both"/>
        <w:rPr>
          <w:rFonts w:ascii="Arial" w:hAnsi="Arial" w:cs="Arial"/>
        </w:rPr>
      </w:pPr>
      <w:r>
        <w:rPr>
          <w:rFonts w:ascii="Arial" w:hAnsi="Arial" w:cs="Arial"/>
        </w:rPr>
        <w:t xml:space="preserve">Yes. It is entirely up to the firm to decide what structures they wish to employ to effectively run the ADP. For a number of firms the training officer structure works well. </w:t>
      </w:r>
    </w:p>
    <w:p w:rsidR="000552F5" w:rsidRPr="004C73A3" w:rsidRDefault="000552F5" w:rsidP="004C73A3">
      <w:pPr>
        <w:spacing w:line="360" w:lineRule="auto"/>
        <w:rPr>
          <w:rFonts w:ascii="Arial" w:hAnsi="Arial" w:cs="Arial"/>
        </w:rPr>
      </w:pPr>
    </w:p>
    <w:p w:rsidR="00097AAD" w:rsidRPr="000552F5" w:rsidRDefault="00097AAD" w:rsidP="00345BD0">
      <w:pPr>
        <w:pStyle w:val="ListParagraph"/>
        <w:numPr>
          <w:ilvl w:val="0"/>
          <w:numId w:val="33"/>
        </w:numPr>
        <w:spacing w:line="360" w:lineRule="auto"/>
        <w:jc w:val="both"/>
        <w:rPr>
          <w:rFonts w:ascii="Arial" w:hAnsi="Arial" w:cs="Arial"/>
          <w:b/>
        </w:rPr>
      </w:pPr>
      <w:r w:rsidRPr="000552F5">
        <w:rPr>
          <w:rFonts w:ascii="Arial" w:hAnsi="Arial" w:cs="Arial"/>
          <w:b/>
        </w:rPr>
        <w:t xml:space="preserve">Can I </w:t>
      </w:r>
      <w:r w:rsidR="000552F5">
        <w:rPr>
          <w:rFonts w:ascii="Arial" w:hAnsi="Arial" w:cs="Arial"/>
          <w:b/>
        </w:rPr>
        <w:t xml:space="preserve">wait and </w:t>
      </w:r>
      <w:r w:rsidRPr="000552F5">
        <w:rPr>
          <w:rFonts w:ascii="Arial" w:hAnsi="Arial" w:cs="Arial"/>
          <w:b/>
        </w:rPr>
        <w:t xml:space="preserve">only </w:t>
      </w:r>
      <w:r w:rsidR="002A59A9">
        <w:rPr>
          <w:rFonts w:ascii="Arial" w:hAnsi="Arial" w:cs="Arial"/>
          <w:b/>
        </w:rPr>
        <w:t>register</w:t>
      </w:r>
      <w:r w:rsidRPr="000552F5">
        <w:rPr>
          <w:rFonts w:ascii="Arial" w:hAnsi="Arial" w:cs="Arial"/>
          <w:b/>
        </w:rPr>
        <w:t xml:space="preserve"> someone on the ADP when I know that they will make partnership</w:t>
      </w:r>
      <w:r w:rsidR="000552F5">
        <w:rPr>
          <w:rFonts w:ascii="Arial" w:hAnsi="Arial" w:cs="Arial"/>
          <w:b/>
        </w:rPr>
        <w:t xml:space="preserve"> in my firm</w:t>
      </w:r>
      <w:r w:rsidRPr="000552F5">
        <w:rPr>
          <w:rFonts w:ascii="Arial" w:hAnsi="Arial" w:cs="Arial"/>
          <w:b/>
        </w:rPr>
        <w:t xml:space="preserve">? </w:t>
      </w:r>
    </w:p>
    <w:p w:rsidR="00097AAD" w:rsidRDefault="000552F5" w:rsidP="00345BD0">
      <w:pPr>
        <w:spacing w:line="360" w:lineRule="auto"/>
        <w:ind w:left="709"/>
        <w:jc w:val="both"/>
        <w:rPr>
          <w:rFonts w:ascii="Arial" w:hAnsi="Arial" w:cs="Arial"/>
        </w:rPr>
      </w:pPr>
      <w:r>
        <w:rPr>
          <w:rFonts w:ascii="Arial" w:hAnsi="Arial" w:cs="Arial"/>
        </w:rPr>
        <w:t xml:space="preserve">Yes, this can be done post facto. However, the IRBA would like to encourage firms to retain candidates to complete the ADP for the broader purpose of maintaining a potential pool of RAs for the South African economy and not just for the firm’s partnership purposes. </w:t>
      </w:r>
    </w:p>
    <w:p w:rsidR="00C92BA6" w:rsidRDefault="00C92BA6" w:rsidP="00345BD0">
      <w:pPr>
        <w:spacing w:line="360" w:lineRule="auto"/>
        <w:ind w:left="709"/>
        <w:jc w:val="both"/>
        <w:rPr>
          <w:rFonts w:ascii="Arial" w:hAnsi="Arial" w:cs="Arial"/>
        </w:rPr>
      </w:pPr>
    </w:p>
    <w:p w:rsidR="000552F5" w:rsidRDefault="000552F5" w:rsidP="00345BD0">
      <w:pPr>
        <w:spacing w:line="360" w:lineRule="auto"/>
        <w:ind w:left="709"/>
        <w:jc w:val="both"/>
        <w:rPr>
          <w:rFonts w:ascii="Arial" w:hAnsi="Arial" w:cs="Arial"/>
        </w:rPr>
      </w:pPr>
      <w:r>
        <w:rPr>
          <w:rFonts w:ascii="Arial" w:hAnsi="Arial" w:cs="Arial"/>
        </w:rPr>
        <w:t xml:space="preserve">Some RCAs may only wish to stay with the firm for a few years post CA </w:t>
      </w:r>
      <w:r w:rsidR="002A59A9">
        <w:rPr>
          <w:rFonts w:ascii="Arial" w:hAnsi="Arial" w:cs="Arial"/>
        </w:rPr>
        <w:t>designation</w:t>
      </w:r>
      <w:r>
        <w:rPr>
          <w:rFonts w:ascii="Arial" w:hAnsi="Arial" w:cs="Arial"/>
        </w:rPr>
        <w:t xml:space="preserve">. This provides the RCA with the opportunity to gain an additional dimension to their CA qualification and also ensures that there are sufficient RAs in the SA economy. </w:t>
      </w:r>
    </w:p>
    <w:p w:rsidR="004C73A3" w:rsidRDefault="004C73A3" w:rsidP="00345BD0">
      <w:pPr>
        <w:spacing w:line="360" w:lineRule="auto"/>
        <w:ind w:left="709"/>
        <w:jc w:val="both"/>
        <w:rPr>
          <w:rFonts w:ascii="Arial" w:hAnsi="Arial" w:cs="Arial"/>
        </w:rPr>
      </w:pPr>
    </w:p>
    <w:p w:rsidR="004C73A3" w:rsidRPr="00C92BA6" w:rsidRDefault="004C73A3" w:rsidP="004C73A3">
      <w:pPr>
        <w:pStyle w:val="ListParagraph"/>
        <w:numPr>
          <w:ilvl w:val="0"/>
          <w:numId w:val="33"/>
        </w:numPr>
        <w:spacing w:line="360" w:lineRule="auto"/>
        <w:jc w:val="both"/>
        <w:rPr>
          <w:rFonts w:ascii="Arial" w:hAnsi="Arial" w:cs="Arial"/>
          <w:b/>
        </w:rPr>
      </w:pPr>
      <w:r w:rsidRPr="00C92BA6">
        <w:rPr>
          <w:rFonts w:ascii="Arial" w:hAnsi="Arial" w:cs="Arial"/>
          <w:b/>
        </w:rPr>
        <w:t>What procedures must we follow when a candidat</w:t>
      </w:r>
      <w:r w:rsidR="00AA7106">
        <w:rPr>
          <w:rFonts w:ascii="Arial" w:hAnsi="Arial" w:cs="Arial"/>
          <w:b/>
        </w:rPr>
        <w:t>e wants to temporarily suspend</w:t>
      </w:r>
      <w:r w:rsidRPr="00C92BA6">
        <w:rPr>
          <w:rFonts w:ascii="Arial" w:hAnsi="Arial" w:cs="Arial"/>
          <w:b/>
        </w:rPr>
        <w:t xml:space="preserve"> their ADP registration, for example; due to maternity leave?</w:t>
      </w:r>
    </w:p>
    <w:p w:rsidR="00FE44A4" w:rsidRDefault="00FE44A4" w:rsidP="004C73A3">
      <w:pPr>
        <w:spacing w:line="360" w:lineRule="auto"/>
        <w:ind w:left="709"/>
        <w:jc w:val="both"/>
        <w:rPr>
          <w:rFonts w:ascii="Arial" w:hAnsi="Arial" w:cs="Arial"/>
        </w:rPr>
      </w:pPr>
      <w:r w:rsidRPr="00C92BA6">
        <w:rPr>
          <w:rFonts w:ascii="Arial" w:hAnsi="Arial" w:cs="Arial"/>
        </w:rPr>
        <w:t xml:space="preserve">The ORA and the RCA may agree to temporarily suspend the ADP. In this regard the suspension will be </w:t>
      </w:r>
      <w:r w:rsidR="002A59A9">
        <w:rPr>
          <w:rFonts w:ascii="Arial" w:hAnsi="Arial" w:cs="Arial"/>
        </w:rPr>
        <w:t>in accordance with</w:t>
      </w:r>
      <w:r w:rsidRPr="00C92BA6">
        <w:rPr>
          <w:rFonts w:ascii="Arial" w:hAnsi="Arial" w:cs="Arial"/>
        </w:rPr>
        <w:t xml:space="preserve"> the provisions of the firm’s Human Resource policies and practices. </w:t>
      </w:r>
      <w:r w:rsidR="002A59A9">
        <w:rPr>
          <w:rFonts w:ascii="Arial" w:hAnsi="Arial" w:cs="Arial"/>
        </w:rPr>
        <w:t>However t</w:t>
      </w:r>
      <w:r w:rsidR="00F46931" w:rsidRPr="00C92BA6">
        <w:rPr>
          <w:rFonts w:ascii="Arial" w:hAnsi="Arial" w:cs="Arial"/>
        </w:rPr>
        <w:t xml:space="preserve">he </w:t>
      </w:r>
      <w:r w:rsidR="002A59A9">
        <w:rPr>
          <w:rFonts w:ascii="Arial" w:hAnsi="Arial" w:cs="Arial"/>
        </w:rPr>
        <w:t>RCA and the ORA</w:t>
      </w:r>
      <w:r w:rsidR="00F46931" w:rsidRPr="00C92BA6">
        <w:rPr>
          <w:rFonts w:ascii="Arial" w:hAnsi="Arial" w:cs="Arial"/>
        </w:rPr>
        <w:t xml:space="preserve"> must, within 5 working days, send an email communication notifying the IRBA of such suspension.</w:t>
      </w:r>
    </w:p>
    <w:p w:rsidR="003E3FC0" w:rsidRDefault="003E3FC0" w:rsidP="004C73A3">
      <w:pPr>
        <w:spacing w:line="360" w:lineRule="auto"/>
        <w:ind w:left="709"/>
        <w:jc w:val="both"/>
        <w:rPr>
          <w:rFonts w:ascii="Arial" w:hAnsi="Arial" w:cs="Arial"/>
        </w:rPr>
      </w:pPr>
    </w:p>
    <w:p w:rsidR="003E3FC0" w:rsidRPr="00C92BA6" w:rsidRDefault="003E3FC0" w:rsidP="003E3FC0">
      <w:pPr>
        <w:pStyle w:val="ListParagraph"/>
        <w:numPr>
          <w:ilvl w:val="0"/>
          <w:numId w:val="33"/>
        </w:numPr>
        <w:spacing w:line="360" w:lineRule="auto"/>
        <w:jc w:val="both"/>
        <w:rPr>
          <w:rFonts w:ascii="Arial" w:hAnsi="Arial" w:cs="Arial"/>
          <w:b/>
        </w:rPr>
      </w:pPr>
      <w:r w:rsidRPr="00C92BA6">
        <w:rPr>
          <w:rFonts w:ascii="Arial" w:hAnsi="Arial" w:cs="Arial"/>
          <w:b/>
        </w:rPr>
        <w:t xml:space="preserve"> How long does the IRBA anticipate that the assessment of the portfolio of evidence will take?</w:t>
      </w:r>
    </w:p>
    <w:p w:rsidR="003E3FC0" w:rsidRPr="00C92BA6" w:rsidRDefault="003E3FC0" w:rsidP="003E3FC0">
      <w:pPr>
        <w:spacing w:line="360" w:lineRule="auto"/>
        <w:ind w:left="709"/>
        <w:jc w:val="both"/>
        <w:rPr>
          <w:rFonts w:ascii="Arial" w:hAnsi="Arial" w:cs="Arial"/>
        </w:rPr>
      </w:pPr>
      <w:r w:rsidRPr="00C92BA6">
        <w:rPr>
          <w:rFonts w:ascii="Arial" w:hAnsi="Arial" w:cs="Arial"/>
        </w:rPr>
        <w:t xml:space="preserve">The amount of time taken to assess the portfolio of evidence will be </w:t>
      </w:r>
      <w:r w:rsidR="002A59A9">
        <w:rPr>
          <w:rFonts w:ascii="Arial" w:hAnsi="Arial" w:cs="Arial"/>
        </w:rPr>
        <w:t>determined</w:t>
      </w:r>
      <w:r w:rsidRPr="00C92BA6">
        <w:rPr>
          <w:rFonts w:ascii="Arial" w:hAnsi="Arial" w:cs="Arial"/>
        </w:rPr>
        <w:t xml:space="preserve"> by the completeness and </w:t>
      </w:r>
      <w:r w:rsidR="002A59A9">
        <w:rPr>
          <w:rFonts w:ascii="Arial" w:hAnsi="Arial" w:cs="Arial"/>
        </w:rPr>
        <w:t>accuracy</w:t>
      </w:r>
      <w:r w:rsidRPr="00C92BA6">
        <w:rPr>
          <w:rFonts w:ascii="Arial" w:hAnsi="Arial" w:cs="Arial"/>
        </w:rPr>
        <w:t xml:space="preserve"> of documentation submitted by the ORA and RCA as part of the portfolio of evidence. In this regard we request that the ORA and RCA ensure that the documentation submitted is properly reviewed before submission to the IRBA.</w:t>
      </w:r>
    </w:p>
    <w:p w:rsidR="00FE44A4" w:rsidRDefault="00FE44A4" w:rsidP="004C73A3">
      <w:pPr>
        <w:spacing w:line="360" w:lineRule="auto"/>
        <w:ind w:left="709"/>
        <w:jc w:val="both"/>
        <w:rPr>
          <w:rFonts w:ascii="Arial" w:hAnsi="Arial" w:cs="Arial"/>
        </w:rPr>
      </w:pPr>
    </w:p>
    <w:p w:rsidR="004C73A3" w:rsidRDefault="004C73A3" w:rsidP="00345BD0">
      <w:pPr>
        <w:spacing w:line="360" w:lineRule="auto"/>
        <w:ind w:left="709"/>
        <w:jc w:val="both"/>
        <w:rPr>
          <w:rFonts w:ascii="Arial" w:hAnsi="Arial" w:cs="Arial"/>
        </w:rPr>
      </w:pPr>
    </w:p>
    <w:p w:rsidR="004C73A3" w:rsidRPr="00097AAD" w:rsidRDefault="004C73A3" w:rsidP="00345BD0">
      <w:pPr>
        <w:spacing w:line="360" w:lineRule="auto"/>
        <w:ind w:left="709"/>
        <w:jc w:val="both"/>
        <w:rPr>
          <w:rFonts w:ascii="Arial" w:hAnsi="Arial" w:cs="Arial"/>
        </w:rPr>
      </w:pPr>
    </w:p>
    <w:sectPr w:rsidR="004C73A3" w:rsidRPr="00097AAD" w:rsidSect="00150491">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79" w:rsidRDefault="005C7779" w:rsidP="00253587">
      <w:r>
        <w:separator/>
      </w:r>
    </w:p>
  </w:endnote>
  <w:endnote w:type="continuationSeparator" w:id="0">
    <w:p w:rsidR="005C7779" w:rsidRDefault="005C7779" w:rsidP="002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474904"/>
      <w:docPartObj>
        <w:docPartGallery w:val="Page Numbers (Bottom of Page)"/>
        <w:docPartUnique/>
      </w:docPartObj>
    </w:sdtPr>
    <w:sdtEndPr/>
    <w:sdtContent>
      <w:sdt>
        <w:sdtPr>
          <w:id w:val="-1015378169"/>
          <w:docPartObj>
            <w:docPartGallery w:val="Page Numbers (Top of Page)"/>
            <w:docPartUnique/>
          </w:docPartObj>
        </w:sdtPr>
        <w:sdtEndPr/>
        <w:sdtContent>
          <w:p w:rsidR="00D91813" w:rsidRDefault="00D91813">
            <w:pPr>
              <w:pStyle w:val="Footer"/>
              <w:jc w:val="center"/>
            </w:pPr>
            <w:r>
              <w:t xml:space="preserve">Page </w:t>
            </w:r>
            <w:r>
              <w:rPr>
                <w:b/>
                <w:bCs/>
              </w:rPr>
              <w:fldChar w:fldCharType="begin"/>
            </w:r>
            <w:r>
              <w:rPr>
                <w:b/>
                <w:bCs/>
              </w:rPr>
              <w:instrText xml:space="preserve"> PAGE </w:instrText>
            </w:r>
            <w:r>
              <w:rPr>
                <w:b/>
                <w:bCs/>
              </w:rPr>
              <w:fldChar w:fldCharType="separate"/>
            </w:r>
            <w:r w:rsidR="002F66A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F66A8">
              <w:rPr>
                <w:b/>
                <w:bCs/>
                <w:noProof/>
              </w:rPr>
              <w:t>3</w:t>
            </w:r>
            <w:r>
              <w:rPr>
                <w:b/>
                <w:bCs/>
              </w:rPr>
              <w:fldChar w:fldCharType="end"/>
            </w:r>
          </w:p>
        </w:sdtContent>
      </w:sdt>
    </w:sdtContent>
  </w:sdt>
  <w:p w:rsidR="00D91813" w:rsidRDefault="00D9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79" w:rsidRDefault="005C7779" w:rsidP="00253587">
      <w:r>
        <w:separator/>
      </w:r>
    </w:p>
  </w:footnote>
  <w:footnote w:type="continuationSeparator" w:id="0">
    <w:p w:rsidR="005C7779" w:rsidRDefault="005C7779" w:rsidP="0025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13" w:rsidRDefault="00D91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13" w:rsidRDefault="00D91813" w:rsidP="00031A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F96"/>
    <w:multiLevelType w:val="hybridMultilevel"/>
    <w:tmpl w:val="B6E03B6E"/>
    <w:lvl w:ilvl="0" w:tplc="5B52F0D6">
      <w:start w:val="1"/>
      <w:numFmt w:val="bullet"/>
      <w:lvlText w:val="•"/>
      <w:lvlJc w:val="left"/>
      <w:pPr>
        <w:tabs>
          <w:tab w:val="num" w:pos="720"/>
        </w:tabs>
        <w:ind w:left="720" w:hanging="360"/>
      </w:pPr>
      <w:rPr>
        <w:rFonts w:ascii="Times New Roman" w:hAnsi="Times New Roman" w:hint="default"/>
      </w:rPr>
    </w:lvl>
    <w:lvl w:ilvl="1" w:tplc="D10403CA" w:tentative="1">
      <w:start w:val="1"/>
      <w:numFmt w:val="bullet"/>
      <w:lvlText w:val="•"/>
      <w:lvlJc w:val="left"/>
      <w:pPr>
        <w:tabs>
          <w:tab w:val="num" w:pos="1440"/>
        </w:tabs>
        <w:ind w:left="1440" w:hanging="360"/>
      </w:pPr>
      <w:rPr>
        <w:rFonts w:ascii="Times New Roman" w:hAnsi="Times New Roman" w:hint="default"/>
      </w:rPr>
    </w:lvl>
    <w:lvl w:ilvl="2" w:tplc="CC06A6FC">
      <w:start w:val="1"/>
      <w:numFmt w:val="bullet"/>
      <w:lvlText w:val="•"/>
      <w:lvlJc w:val="left"/>
      <w:pPr>
        <w:tabs>
          <w:tab w:val="num" w:pos="2160"/>
        </w:tabs>
        <w:ind w:left="2160" w:hanging="360"/>
      </w:pPr>
      <w:rPr>
        <w:rFonts w:ascii="Times New Roman" w:hAnsi="Times New Roman" w:hint="default"/>
      </w:rPr>
    </w:lvl>
    <w:lvl w:ilvl="3" w:tplc="BDF0316E" w:tentative="1">
      <w:start w:val="1"/>
      <w:numFmt w:val="bullet"/>
      <w:lvlText w:val="•"/>
      <w:lvlJc w:val="left"/>
      <w:pPr>
        <w:tabs>
          <w:tab w:val="num" w:pos="2880"/>
        </w:tabs>
        <w:ind w:left="2880" w:hanging="360"/>
      </w:pPr>
      <w:rPr>
        <w:rFonts w:ascii="Times New Roman" w:hAnsi="Times New Roman" w:hint="default"/>
      </w:rPr>
    </w:lvl>
    <w:lvl w:ilvl="4" w:tplc="CD1C691C" w:tentative="1">
      <w:start w:val="1"/>
      <w:numFmt w:val="bullet"/>
      <w:lvlText w:val="•"/>
      <w:lvlJc w:val="left"/>
      <w:pPr>
        <w:tabs>
          <w:tab w:val="num" w:pos="3600"/>
        </w:tabs>
        <w:ind w:left="3600" w:hanging="360"/>
      </w:pPr>
      <w:rPr>
        <w:rFonts w:ascii="Times New Roman" w:hAnsi="Times New Roman" w:hint="default"/>
      </w:rPr>
    </w:lvl>
    <w:lvl w:ilvl="5" w:tplc="F5E62202" w:tentative="1">
      <w:start w:val="1"/>
      <w:numFmt w:val="bullet"/>
      <w:lvlText w:val="•"/>
      <w:lvlJc w:val="left"/>
      <w:pPr>
        <w:tabs>
          <w:tab w:val="num" w:pos="4320"/>
        </w:tabs>
        <w:ind w:left="4320" w:hanging="360"/>
      </w:pPr>
      <w:rPr>
        <w:rFonts w:ascii="Times New Roman" w:hAnsi="Times New Roman" w:hint="default"/>
      </w:rPr>
    </w:lvl>
    <w:lvl w:ilvl="6" w:tplc="157EFD52" w:tentative="1">
      <w:start w:val="1"/>
      <w:numFmt w:val="bullet"/>
      <w:lvlText w:val="•"/>
      <w:lvlJc w:val="left"/>
      <w:pPr>
        <w:tabs>
          <w:tab w:val="num" w:pos="5040"/>
        </w:tabs>
        <w:ind w:left="5040" w:hanging="360"/>
      </w:pPr>
      <w:rPr>
        <w:rFonts w:ascii="Times New Roman" w:hAnsi="Times New Roman" w:hint="default"/>
      </w:rPr>
    </w:lvl>
    <w:lvl w:ilvl="7" w:tplc="D68421D6" w:tentative="1">
      <w:start w:val="1"/>
      <w:numFmt w:val="bullet"/>
      <w:lvlText w:val="•"/>
      <w:lvlJc w:val="left"/>
      <w:pPr>
        <w:tabs>
          <w:tab w:val="num" w:pos="5760"/>
        </w:tabs>
        <w:ind w:left="5760" w:hanging="360"/>
      </w:pPr>
      <w:rPr>
        <w:rFonts w:ascii="Times New Roman" w:hAnsi="Times New Roman" w:hint="default"/>
      </w:rPr>
    </w:lvl>
    <w:lvl w:ilvl="8" w:tplc="8A706F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43ACC"/>
    <w:multiLevelType w:val="hybridMultilevel"/>
    <w:tmpl w:val="A5820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CA5662"/>
    <w:multiLevelType w:val="hybridMultilevel"/>
    <w:tmpl w:val="B72E0DE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9B6178"/>
    <w:multiLevelType w:val="multilevel"/>
    <w:tmpl w:val="1DF49C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0165806"/>
    <w:multiLevelType w:val="hybridMultilevel"/>
    <w:tmpl w:val="4C0280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C5CBB"/>
    <w:multiLevelType w:val="hybridMultilevel"/>
    <w:tmpl w:val="52C6FD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6571A4"/>
    <w:multiLevelType w:val="hybridMultilevel"/>
    <w:tmpl w:val="01E07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D416A1"/>
    <w:multiLevelType w:val="hybridMultilevel"/>
    <w:tmpl w:val="0ADE4E8E"/>
    <w:lvl w:ilvl="0" w:tplc="08090005">
      <w:start w:val="1"/>
      <w:numFmt w:val="bullet"/>
      <w:lvlText w:val=""/>
      <w:lvlJc w:val="left"/>
      <w:pPr>
        <w:tabs>
          <w:tab w:val="num" w:pos="4564"/>
        </w:tabs>
        <w:ind w:left="4564" w:hanging="360"/>
      </w:pPr>
      <w:rPr>
        <w:rFonts w:ascii="Wingdings" w:hAnsi="Wingdings" w:cs="Wingdings" w:hint="default"/>
      </w:rPr>
    </w:lvl>
    <w:lvl w:ilvl="1" w:tplc="08090005">
      <w:start w:val="1"/>
      <w:numFmt w:val="bullet"/>
      <w:lvlText w:val=""/>
      <w:lvlJc w:val="left"/>
      <w:pPr>
        <w:ind w:left="2880" w:hanging="360"/>
      </w:pPr>
      <w:rPr>
        <w:rFonts w:ascii="Wingdings" w:hAnsi="Wingdings" w:cs="Wingdings"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1E4F6CC2"/>
    <w:multiLevelType w:val="hybridMultilevel"/>
    <w:tmpl w:val="EE748950"/>
    <w:lvl w:ilvl="0" w:tplc="5E5EBBE0">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76759C"/>
    <w:multiLevelType w:val="hybridMultilevel"/>
    <w:tmpl w:val="5090134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0" w15:restartNumberingAfterBreak="0">
    <w:nsid w:val="2860260E"/>
    <w:multiLevelType w:val="hybridMultilevel"/>
    <w:tmpl w:val="59F0B22E"/>
    <w:lvl w:ilvl="0" w:tplc="08090005">
      <w:start w:val="1"/>
      <w:numFmt w:val="bullet"/>
      <w:lvlText w:val=""/>
      <w:lvlJc w:val="left"/>
      <w:pPr>
        <w:tabs>
          <w:tab w:val="num" w:pos="3124"/>
        </w:tabs>
        <w:ind w:left="3124" w:hanging="360"/>
      </w:pPr>
      <w:rPr>
        <w:rFonts w:ascii="Wingdings" w:hAnsi="Wingdings" w:cs="Wingdings" w:hint="default"/>
      </w:rPr>
    </w:lvl>
    <w:lvl w:ilvl="1" w:tplc="08090003">
      <w:start w:val="1"/>
      <w:numFmt w:val="bullet"/>
      <w:lvlText w:val="o"/>
      <w:lvlJc w:val="left"/>
      <w:pPr>
        <w:tabs>
          <w:tab w:val="num" w:pos="3844"/>
        </w:tabs>
        <w:ind w:left="3844" w:hanging="360"/>
      </w:pPr>
      <w:rPr>
        <w:rFonts w:ascii="Courier New" w:hAnsi="Courier New" w:cs="Courier New" w:hint="default"/>
      </w:rPr>
    </w:lvl>
    <w:lvl w:ilvl="2" w:tplc="08090005">
      <w:start w:val="1"/>
      <w:numFmt w:val="bullet"/>
      <w:lvlText w:val=""/>
      <w:lvlJc w:val="left"/>
      <w:pPr>
        <w:tabs>
          <w:tab w:val="num" w:pos="4564"/>
        </w:tabs>
        <w:ind w:left="4564" w:hanging="360"/>
      </w:pPr>
      <w:rPr>
        <w:rFonts w:ascii="Wingdings" w:hAnsi="Wingdings" w:cs="Wingdings" w:hint="default"/>
      </w:rPr>
    </w:lvl>
    <w:lvl w:ilvl="3" w:tplc="08090001">
      <w:start w:val="1"/>
      <w:numFmt w:val="bullet"/>
      <w:lvlText w:val=""/>
      <w:lvlJc w:val="left"/>
      <w:pPr>
        <w:tabs>
          <w:tab w:val="num" w:pos="5284"/>
        </w:tabs>
        <w:ind w:left="5284" w:hanging="360"/>
      </w:pPr>
      <w:rPr>
        <w:rFonts w:ascii="Symbol" w:hAnsi="Symbol" w:cs="Symbol" w:hint="default"/>
      </w:rPr>
    </w:lvl>
    <w:lvl w:ilvl="4" w:tplc="08090003">
      <w:start w:val="1"/>
      <w:numFmt w:val="bullet"/>
      <w:lvlText w:val="o"/>
      <w:lvlJc w:val="left"/>
      <w:pPr>
        <w:tabs>
          <w:tab w:val="num" w:pos="6004"/>
        </w:tabs>
        <w:ind w:left="6004" w:hanging="360"/>
      </w:pPr>
      <w:rPr>
        <w:rFonts w:ascii="Courier New" w:hAnsi="Courier New" w:cs="Courier New" w:hint="default"/>
      </w:rPr>
    </w:lvl>
    <w:lvl w:ilvl="5" w:tplc="08090005">
      <w:start w:val="1"/>
      <w:numFmt w:val="bullet"/>
      <w:lvlText w:val=""/>
      <w:lvlJc w:val="left"/>
      <w:pPr>
        <w:tabs>
          <w:tab w:val="num" w:pos="6724"/>
        </w:tabs>
        <w:ind w:left="6724" w:hanging="360"/>
      </w:pPr>
      <w:rPr>
        <w:rFonts w:ascii="Wingdings" w:hAnsi="Wingdings" w:cs="Wingdings" w:hint="default"/>
      </w:rPr>
    </w:lvl>
    <w:lvl w:ilvl="6" w:tplc="08090001">
      <w:start w:val="1"/>
      <w:numFmt w:val="bullet"/>
      <w:lvlText w:val=""/>
      <w:lvlJc w:val="left"/>
      <w:pPr>
        <w:tabs>
          <w:tab w:val="num" w:pos="7444"/>
        </w:tabs>
        <w:ind w:left="7444" w:hanging="360"/>
      </w:pPr>
      <w:rPr>
        <w:rFonts w:ascii="Symbol" w:hAnsi="Symbol" w:cs="Symbol" w:hint="default"/>
      </w:rPr>
    </w:lvl>
    <w:lvl w:ilvl="7" w:tplc="08090003">
      <w:start w:val="1"/>
      <w:numFmt w:val="bullet"/>
      <w:lvlText w:val="o"/>
      <w:lvlJc w:val="left"/>
      <w:pPr>
        <w:tabs>
          <w:tab w:val="num" w:pos="8164"/>
        </w:tabs>
        <w:ind w:left="8164" w:hanging="360"/>
      </w:pPr>
      <w:rPr>
        <w:rFonts w:ascii="Courier New" w:hAnsi="Courier New" w:cs="Courier New" w:hint="default"/>
      </w:rPr>
    </w:lvl>
    <w:lvl w:ilvl="8" w:tplc="08090005">
      <w:start w:val="1"/>
      <w:numFmt w:val="bullet"/>
      <w:lvlText w:val=""/>
      <w:lvlJc w:val="left"/>
      <w:pPr>
        <w:tabs>
          <w:tab w:val="num" w:pos="8884"/>
        </w:tabs>
        <w:ind w:left="8884" w:hanging="360"/>
      </w:pPr>
      <w:rPr>
        <w:rFonts w:ascii="Wingdings" w:hAnsi="Wingdings" w:cs="Wingdings" w:hint="default"/>
      </w:rPr>
    </w:lvl>
  </w:abstractNum>
  <w:abstractNum w:abstractNumId="11" w15:restartNumberingAfterBreak="0">
    <w:nsid w:val="2CA610BC"/>
    <w:multiLevelType w:val="hybridMultilevel"/>
    <w:tmpl w:val="60309106"/>
    <w:lvl w:ilvl="0" w:tplc="CD0CE5BC">
      <w:numFmt w:val="bullet"/>
      <w:lvlText w:val=""/>
      <w:lvlJc w:val="left"/>
      <w:pPr>
        <w:ind w:left="720" w:hanging="360"/>
      </w:pPr>
      <w:rPr>
        <w:rFonts w:ascii="Symbol" w:eastAsia="Times New Roman"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EF6ECF"/>
    <w:multiLevelType w:val="hybridMultilevel"/>
    <w:tmpl w:val="A264518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2FA9350E"/>
    <w:multiLevelType w:val="hybridMultilevel"/>
    <w:tmpl w:val="D8ACD1CE"/>
    <w:lvl w:ilvl="0" w:tplc="CD0CE5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9F42C4"/>
    <w:multiLevelType w:val="hybridMultilevel"/>
    <w:tmpl w:val="54B4E07C"/>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2E12D74"/>
    <w:multiLevelType w:val="hybridMultilevel"/>
    <w:tmpl w:val="FFF86F3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0E5A63"/>
    <w:multiLevelType w:val="hybridMultilevel"/>
    <w:tmpl w:val="A05EA542"/>
    <w:lvl w:ilvl="0" w:tplc="08090005">
      <w:start w:val="1"/>
      <w:numFmt w:val="bullet"/>
      <w:lvlText w:val=""/>
      <w:lvlJc w:val="left"/>
      <w:pPr>
        <w:tabs>
          <w:tab w:val="num" w:pos="4564"/>
        </w:tabs>
        <w:ind w:left="4564" w:hanging="360"/>
      </w:pPr>
      <w:rPr>
        <w:rFonts w:ascii="Wingdings" w:hAnsi="Wingdings" w:cs="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33767935"/>
    <w:multiLevelType w:val="hybridMultilevel"/>
    <w:tmpl w:val="7FD6C18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8600E1"/>
    <w:multiLevelType w:val="hybridMultilevel"/>
    <w:tmpl w:val="09D46E82"/>
    <w:lvl w:ilvl="0" w:tplc="37FAE33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DE4DE4"/>
    <w:multiLevelType w:val="hybridMultilevel"/>
    <w:tmpl w:val="C980AE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176DFE"/>
    <w:multiLevelType w:val="hybridMultilevel"/>
    <w:tmpl w:val="EE90CC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9C68CF"/>
    <w:multiLevelType w:val="hybridMultilevel"/>
    <w:tmpl w:val="1700AB1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15:restartNumberingAfterBreak="0">
    <w:nsid w:val="40A52F57"/>
    <w:multiLevelType w:val="hybridMultilevel"/>
    <w:tmpl w:val="5238C7CC"/>
    <w:lvl w:ilvl="0" w:tplc="1C09001B">
      <w:start w:val="1"/>
      <w:numFmt w:val="lowerRoman"/>
      <w:lvlText w:val="%1."/>
      <w:lvlJc w:val="right"/>
      <w:pPr>
        <w:ind w:left="720" w:hanging="360"/>
      </w:pPr>
    </w:lvl>
    <w:lvl w:ilvl="1" w:tplc="97FE6F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6D5831"/>
    <w:multiLevelType w:val="hybridMultilevel"/>
    <w:tmpl w:val="F744A5C0"/>
    <w:lvl w:ilvl="0" w:tplc="82A6B0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5191F55"/>
    <w:multiLevelType w:val="hybridMultilevel"/>
    <w:tmpl w:val="5524BA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1D7661"/>
    <w:multiLevelType w:val="hybridMultilevel"/>
    <w:tmpl w:val="DB701AD4"/>
    <w:lvl w:ilvl="0" w:tplc="7A0CB77A">
      <w:start w:val="1"/>
      <w:numFmt w:val="upperRoman"/>
      <w:lvlText w:val="%1."/>
      <w:lvlJc w:val="left"/>
      <w:pPr>
        <w:ind w:left="1080" w:hanging="720"/>
      </w:pPr>
      <w:rPr>
        <w:rFonts w:hint="default"/>
      </w:rPr>
    </w:lvl>
    <w:lvl w:ilvl="1" w:tplc="77463A92">
      <w:start w:val="1"/>
      <w:numFmt w:val="lowerLetter"/>
      <w:lvlText w:val="%2."/>
      <w:lvlJc w:val="left"/>
      <w:pPr>
        <w:ind w:left="1650" w:hanging="57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222921"/>
    <w:multiLevelType w:val="hybridMultilevel"/>
    <w:tmpl w:val="120CA0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2D2E95"/>
    <w:multiLevelType w:val="hybridMultilevel"/>
    <w:tmpl w:val="9C420374"/>
    <w:lvl w:ilvl="0" w:tplc="DF0C8B30">
      <w:start w:val="1"/>
      <w:numFmt w:val="bullet"/>
      <w:lvlText w:val="•"/>
      <w:lvlJc w:val="left"/>
      <w:pPr>
        <w:tabs>
          <w:tab w:val="num" w:pos="720"/>
        </w:tabs>
        <w:ind w:left="720" w:hanging="360"/>
      </w:pPr>
      <w:rPr>
        <w:rFonts w:ascii="Times New Roman" w:hAnsi="Times New Roman" w:hint="default"/>
      </w:rPr>
    </w:lvl>
    <w:lvl w:ilvl="1" w:tplc="326E031C" w:tentative="1">
      <w:start w:val="1"/>
      <w:numFmt w:val="bullet"/>
      <w:lvlText w:val="•"/>
      <w:lvlJc w:val="left"/>
      <w:pPr>
        <w:tabs>
          <w:tab w:val="num" w:pos="1440"/>
        </w:tabs>
        <w:ind w:left="1440" w:hanging="360"/>
      </w:pPr>
      <w:rPr>
        <w:rFonts w:ascii="Times New Roman" w:hAnsi="Times New Roman" w:hint="default"/>
      </w:rPr>
    </w:lvl>
    <w:lvl w:ilvl="2" w:tplc="9F2E2A2E">
      <w:start w:val="1"/>
      <w:numFmt w:val="bullet"/>
      <w:lvlText w:val="•"/>
      <w:lvlJc w:val="left"/>
      <w:pPr>
        <w:tabs>
          <w:tab w:val="num" w:pos="2160"/>
        </w:tabs>
        <w:ind w:left="2160" w:hanging="360"/>
      </w:pPr>
      <w:rPr>
        <w:rFonts w:ascii="Times New Roman" w:hAnsi="Times New Roman" w:hint="default"/>
      </w:rPr>
    </w:lvl>
    <w:lvl w:ilvl="3" w:tplc="90FA5D30" w:tentative="1">
      <w:start w:val="1"/>
      <w:numFmt w:val="bullet"/>
      <w:lvlText w:val="•"/>
      <w:lvlJc w:val="left"/>
      <w:pPr>
        <w:tabs>
          <w:tab w:val="num" w:pos="2880"/>
        </w:tabs>
        <w:ind w:left="2880" w:hanging="360"/>
      </w:pPr>
      <w:rPr>
        <w:rFonts w:ascii="Times New Roman" w:hAnsi="Times New Roman" w:hint="default"/>
      </w:rPr>
    </w:lvl>
    <w:lvl w:ilvl="4" w:tplc="9838243E" w:tentative="1">
      <w:start w:val="1"/>
      <w:numFmt w:val="bullet"/>
      <w:lvlText w:val="•"/>
      <w:lvlJc w:val="left"/>
      <w:pPr>
        <w:tabs>
          <w:tab w:val="num" w:pos="3600"/>
        </w:tabs>
        <w:ind w:left="3600" w:hanging="360"/>
      </w:pPr>
      <w:rPr>
        <w:rFonts w:ascii="Times New Roman" w:hAnsi="Times New Roman" w:hint="default"/>
      </w:rPr>
    </w:lvl>
    <w:lvl w:ilvl="5" w:tplc="A508BF7A" w:tentative="1">
      <w:start w:val="1"/>
      <w:numFmt w:val="bullet"/>
      <w:lvlText w:val="•"/>
      <w:lvlJc w:val="left"/>
      <w:pPr>
        <w:tabs>
          <w:tab w:val="num" w:pos="4320"/>
        </w:tabs>
        <w:ind w:left="4320" w:hanging="360"/>
      </w:pPr>
      <w:rPr>
        <w:rFonts w:ascii="Times New Roman" w:hAnsi="Times New Roman" w:hint="default"/>
      </w:rPr>
    </w:lvl>
    <w:lvl w:ilvl="6" w:tplc="5D5276CE" w:tentative="1">
      <w:start w:val="1"/>
      <w:numFmt w:val="bullet"/>
      <w:lvlText w:val="•"/>
      <w:lvlJc w:val="left"/>
      <w:pPr>
        <w:tabs>
          <w:tab w:val="num" w:pos="5040"/>
        </w:tabs>
        <w:ind w:left="5040" w:hanging="360"/>
      </w:pPr>
      <w:rPr>
        <w:rFonts w:ascii="Times New Roman" w:hAnsi="Times New Roman" w:hint="default"/>
      </w:rPr>
    </w:lvl>
    <w:lvl w:ilvl="7" w:tplc="24703EE2" w:tentative="1">
      <w:start w:val="1"/>
      <w:numFmt w:val="bullet"/>
      <w:lvlText w:val="•"/>
      <w:lvlJc w:val="left"/>
      <w:pPr>
        <w:tabs>
          <w:tab w:val="num" w:pos="5760"/>
        </w:tabs>
        <w:ind w:left="5760" w:hanging="360"/>
      </w:pPr>
      <w:rPr>
        <w:rFonts w:ascii="Times New Roman" w:hAnsi="Times New Roman" w:hint="default"/>
      </w:rPr>
    </w:lvl>
    <w:lvl w:ilvl="8" w:tplc="EDC8CB5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D9428F"/>
    <w:multiLevelType w:val="multilevel"/>
    <w:tmpl w:val="555E7E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0EA5B2C"/>
    <w:multiLevelType w:val="hybridMultilevel"/>
    <w:tmpl w:val="BE1015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A9010D"/>
    <w:multiLevelType w:val="hybridMultilevel"/>
    <w:tmpl w:val="795E923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7F75DF"/>
    <w:multiLevelType w:val="hybridMultilevel"/>
    <w:tmpl w:val="8CB21D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3F60E6"/>
    <w:multiLevelType w:val="hybridMultilevel"/>
    <w:tmpl w:val="22BE5114"/>
    <w:lvl w:ilvl="0" w:tplc="08090005">
      <w:start w:val="1"/>
      <w:numFmt w:val="bullet"/>
      <w:lvlText w:val=""/>
      <w:lvlJc w:val="left"/>
      <w:pPr>
        <w:tabs>
          <w:tab w:val="num" w:pos="720"/>
        </w:tabs>
        <w:ind w:left="720" w:hanging="360"/>
      </w:pPr>
      <w:rPr>
        <w:rFonts w:ascii="Wingdings" w:hAnsi="Wingdings" w:cs="Wingdings" w:hint="default"/>
      </w:rPr>
    </w:lvl>
    <w:lvl w:ilvl="1" w:tplc="08090017">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0835E62"/>
    <w:multiLevelType w:val="hybridMultilevel"/>
    <w:tmpl w:val="030E6B3C"/>
    <w:lvl w:ilvl="0" w:tplc="1C090013">
      <w:start w:val="1"/>
      <w:numFmt w:val="upp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0C77CDD"/>
    <w:multiLevelType w:val="hybridMultilevel"/>
    <w:tmpl w:val="FD7C1660"/>
    <w:lvl w:ilvl="0" w:tplc="871011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8A55AF"/>
    <w:multiLevelType w:val="hybridMultilevel"/>
    <w:tmpl w:val="9FD07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A5926CE"/>
    <w:multiLevelType w:val="hybridMultilevel"/>
    <w:tmpl w:val="D11C999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2AD294E"/>
    <w:multiLevelType w:val="hybridMultilevel"/>
    <w:tmpl w:val="B302F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DE920C7"/>
    <w:multiLevelType w:val="hybridMultilevel"/>
    <w:tmpl w:val="52121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E44C23"/>
    <w:multiLevelType w:val="hybridMultilevel"/>
    <w:tmpl w:val="BA90D1A6"/>
    <w:lvl w:ilvl="0" w:tplc="302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4"/>
  </w:num>
  <w:num w:numId="5">
    <w:abstractNumId w:val="32"/>
  </w:num>
  <w:num w:numId="6">
    <w:abstractNumId w:val="17"/>
  </w:num>
  <w:num w:numId="7">
    <w:abstractNumId w:val="10"/>
  </w:num>
  <w:num w:numId="8">
    <w:abstractNumId w:val="36"/>
  </w:num>
  <w:num w:numId="9">
    <w:abstractNumId w:val="18"/>
  </w:num>
  <w:num w:numId="10">
    <w:abstractNumId w:val="39"/>
  </w:num>
  <w:num w:numId="11">
    <w:abstractNumId w:val="34"/>
  </w:num>
  <w:num w:numId="12">
    <w:abstractNumId w:val="23"/>
  </w:num>
  <w:num w:numId="13">
    <w:abstractNumId w:val="19"/>
  </w:num>
  <w:num w:numId="14">
    <w:abstractNumId w:val="33"/>
  </w:num>
  <w:num w:numId="15">
    <w:abstractNumId w:val="3"/>
  </w:num>
  <w:num w:numId="16">
    <w:abstractNumId w:val="38"/>
  </w:num>
  <w:num w:numId="17">
    <w:abstractNumId w:val="26"/>
  </w:num>
  <w:num w:numId="18">
    <w:abstractNumId w:val="22"/>
  </w:num>
  <w:num w:numId="19">
    <w:abstractNumId w:val="30"/>
  </w:num>
  <w:num w:numId="20">
    <w:abstractNumId w:val="13"/>
  </w:num>
  <w:num w:numId="21">
    <w:abstractNumId w:val="11"/>
  </w:num>
  <w:num w:numId="22">
    <w:abstractNumId w:val="2"/>
  </w:num>
  <w:num w:numId="23">
    <w:abstractNumId w:val="31"/>
  </w:num>
  <w:num w:numId="24">
    <w:abstractNumId w:val="20"/>
  </w:num>
  <w:num w:numId="25">
    <w:abstractNumId w:val="25"/>
  </w:num>
  <w:num w:numId="26">
    <w:abstractNumId w:val="28"/>
  </w:num>
  <w:num w:numId="27">
    <w:abstractNumId w:val="6"/>
  </w:num>
  <w:num w:numId="28">
    <w:abstractNumId w:val="1"/>
  </w:num>
  <w:num w:numId="29">
    <w:abstractNumId w:val="37"/>
  </w:num>
  <w:num w:numId="30">
    <w:abstractNumId w:val="24"/>
  </w:num>
  <w:num w:numId="31">
    <w:abstractNumId w:val="29"/>
  </w:num>
  <w:num w:numId="32">
    <w:abstractNumId w:val="35"/>
  </w:num>
  <w:num w:numId="33">
    <w:abstractNumId w:val="8"/>
  </w:num>
  <w:num w:numId="34">
    <w:abstractNumId w:val="9"/>
  </w:num>
  <w:num w:numId="35">
    <w:abstractNumId w:val="16"/>
  </w:num>
  <w:num w:numId="36">
    <w:abstractNumId w:val="7"/>
  </w:num>
  <w:num w:numId="37">
    <w:abstractNumId w:val="21"/>
  </w:num>
  <w:num w:numId="38">
    <w:abstractNumId w:val="12"/>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87"/>
    <w:rsid w:val="00002A79"/>
    <w:rsid w:val="00003657"/>
    <w:rsid w:val="00031A0E"/>
    <w:rsid w:val="000552F5"/>
    <w:rsid w:val="00062285"/>
    <w:rsid w:val="0006234A"/>
    <w:rsid w:val="00086168"/>
    <w:rsid w:val="00097AAD"/>
    <w:rsid w:val="000A2D42"/>
    <w:rsid w:val="000B106C"/>
    <w:rsid w:val="000B5A35"/>
    <w:rsid w:val="000C0708"/>
    <w:rsid w:val="000D404A"/>
    <w:rsid w:val="000E17E1"/>
    <w:rsid w:val="000E550C"/>
    <w:rsid w:val="000F2D18"/>
    <w:rsid w:val="000F4A4B"/>
    <w:rsid w:val="001054B2"/>
    <w:rsid w:val="001111E2"/>
    <w:rsid w:val="00112B5A"/>
    <w:rsid w:val="00115923"/>
    <w:rsid w:val="00140662"/>
    <w:rsid w:val="0014743C"/>
    <w:rsid w:val="00150491"/>
    <w:rsid w:val="001757F1"/>
    <w:rsid w:val="001B1A1D"/>
    <w:rsid w:val="00201EA8"/>
    <w:rsid w:val="002059D9"/>
    <w:rsid w:val="002102DC"/>
    <w:rsid w:val="00213D18"/>
    <w:rsid w:val="00214FBE"/>
    <w:rsid w:val="00216EE7"/>
    <w:rsid w:val="002232A6"/>
    <w:rsid w:val="00247F5D"/>
    <w:rsid w:val="00253587"/>
    <w:rsid w:val="00265031"/>
    <w:rsid w:val="00270EBD"/>
    <w:rsid w:val="00275934"/>
    <w:rsid w:val="00282AB1"/>
    <w:rsid w:val="00283262"/>
    <w:rsid w:val="002A0A6A"/>
    <w:rsid w:val="002A2051"/>
    <w:rsid w:val="002A535E"/>
    <w:rsid w:val="002A59A9"/>
    <w:rsid w:val="002A7D81"/>
    <w:rsid w:val="002B3372"/>
    <w:rsid w:val="002F66A8"/>
    <w:rsid w:val="00311C57"/>
    <w:rsid w:val="00315612"/>
    <w:rsid w:val="00317CC5"/>
    <w:rsid w:val="00345BD0"/>
    <w:rsid w:val="00376EEE"/>
    <w:rsid w:val="003827B0"/>
    <w:rsid w:val="003C5466"/>
    <w:rsid w:val="003C6931"/>
    <w:rsid w:val="003E3FC0"/>
    <w:rsid w:val="003F7E7D"/>
    <w:rsid w:val="00406D63"/>
    <w:rsid w:val="00414ECD"/>
    <w:rsid w:val="004351EE"/>
    <w:rsid w:val="004414F8"/>
    <w:rsid w:val="004575ED"/>
    <w:rsid w:val="00460F98"/>
    <w:rsid w:val="00480031"/>
    <w:rsid w:val="00491299"/>
    <w:rsid w:val="004C0A14"/>
    <w:rsid w:val="004C0C17"/>
    <w:rsid w:val="004C6707"/>
    <w:rsid w:val="004C73A3"/>
    <w:rsid w:val="0050192A"/>
    <w:rsid w:val="0051507E"/>
    <w:rsid w:val="00527ABD"/>
    <w:rsid w:val="00534797"/>
    <w:rsid w:val="00552B7D"/>
    <w:rsid w:val="00562492"/>
    <w:rsid w:val="00572F61"/>
    <w:rsid w:val="0057437D"/>
    <w:rsid w:val="00576267"/>
    <w:rsid w:val="005808F4"/>
    <w:rsid w:val="00587876"/>
    <w:rsid w:val="00592502"/>
    <w:rsid w:val="005A4198"/>
    <w:rsid w:val="005B0F5F"/>
    <w:rsid w:val="005C7779"/>
    <w:rsid w:val="005D76B1"/>
    <w:rsid w:val="005E35A0"/>
    <w:rsid w:val="005E4824"/>
    <w:rsid w:val="006206E3"/>
    <w:rsid w:val="0062340F"/>
    <w:rsid w:val="00636B5C"/>
    <w:rsid w:val="00644F99"/>
    <w:rsid w:val="0066187C"/>
    <w:rsid w:val="00673384"/>
    <w:rsid w:val="0068300C"/>
    <w:rsid w:val="00690784"/>
    <w:rsid w:val="00692B6E"/>
    <w:rsid w:val="006C11CA"/>
    <w:rsid w:val="006D5C0F"/>
    <w:rsid w:val="00700513"/>
    <w:rsid w:val="00715833"/>
    <w:rsid w:val="0071731C"/>
    <w:rsid w:val="00737913"/>
    <w:rsid w:val="00756214"/>
    <w:rsid w:val="00757313"/>
    <w:rsid w:val="0076523C"/>
    <w:rsid w:val="00772EF7"/>
    <w:rsid w:val="007901BF"/>
    <w:rsid w:val="007967AB"/>
    <w:rsid w:val="007B4ADF"/>
    <w:rsid w:val="007E0A1E"/>
    <w:rsid w:val="007E21E5"/>
    <w:rsid w:val="007E7DA7"/>
    <w:rsid w:val="007F698B"/>
    <w:rsid w:val="00803529"/>
    <w:rsid w:val="00805EFA"/>
    <w:rsid w:val="00806079"/>
    <w:rsid w:val="00815714"/>
    <w:rsid w:val="008165B9"/>
    <w:rsid w:val="00820471"/>
    <w:rsid w:val="0082510E"/>
    <w:rsid w:val="008365E4"/>
    <w:rsid w:val="008479E7"/>
    <w:rsid w:val="008761C2"/>
    <w:rsid w:val="00882BB7"/>
    <w:rsid w:val="008878F5"/>
    <w:rsid w:val="008938DC"/>
    <w:rsid w:val="00896AB2"/>
    <w:rsid w:val="008A7281"/>
    <w:rsid w:val="008C6A81"/>
    <w:rsid w:val="008E2C3A"/>
    <w:rsid w:val="009013B6"/>
    <w:rsid w:val="009038EF"/>
    <w:rsid w:val="00906059"/>
    <w:rsid w:val="009153D6"/>
    <w:rsid w:val="009164BA"/>
    <w:rsid w:val="00923904"/>
    <w:rsid w:val="0093373C"/>
    <w:rsid w:val="0093441F"/>
    <w:rsid w:val="00934D9A"/>
    <w:rsid w:val="00960575"/>
    <w:rsid w:val="009940F6"/>
    <w:rsid w:val="009A798C"/>
    <w:rsid w:val="009B49FD"/>
    <w:rsid w:val="009B6DB0"/>
    <w:rsid w:val="009C7422"/>
    <w:rsid w:val="009D4769"/>
    <w:rsid w:val="009F1418"/>
    <w:rsid w:val="009F770A"/>
    <w:rsid w:val="00A01B09"/>
    <w:rsid w:val="00A035FA"/>
    <w:rsid w:val="00A066E2"/>
    <w:rsid w:val="00A13B21"/>
    <w:rsid w:val="00A16742"/>
    <w:rsid w:val="00A2341B"/>
    <w:rsid w:val="00A25563"/>
    <w:rsid w:val="00A33EA7"/>
    <w:rsid w:val="00A40B9C"/>
    <w:rsid w:val="00A42A25"/>
    <w:rsid w:val="00A54E18"/>
    <w:rsid w:val="00A6037F"/>
    <w:rsid w:val="00A90089"/>
    <w:rsid w:val="00AA08DF"/>
    <w:rsid w:val="00AA7106"/>
    <w:rsid w:val="00AB3BD9"/>
    <w:rsid w:val="00AB7DBE"/>
    <w:rsid w:val="00AC12D8"/>
    <w:rsid w:val="00AD1DE5"/>
    <w:rsid w:val="00AF259F"/>
    <w:rsid w:val="00AF640C"/>
    <w:rsid w:val="00B02101"/>
    <w:rsid w:val="00B044E1"/>
    <w:rsid w:val="00B07AC1"/>
    <w:rsid w:val="00B136D2"/>
    <w:rsid w:val="00B1552E"/>
    <w:rsid w:val="00B252F2"/>
    <w:rsid w:val="00B31F31"/>
    <w:rsid w:val="00B362BC"/>
    <w:rsid w:val="00B53DC9"/>
    <w:rsid w:val="00B55986"/>
    <w:rsid w:val="00B63197"/>
    <w:rsid w:val="00B718E0"/>
    <w:rsid w:val="00B803B7"/>
    <w:rsid w:val="00B86AA8"/>
    <w:rsid w:val="00BA29C2"/>
    <w:rsid w:val="00BA675D"/>
    <w:rsid w:val="00BC050B"/>
    <w:rsid w:val="00BD271C"/>
    <w:rsid w:val="00BD34C2"/>
    <w:rsid w:val="00C0447B"/>
    <w:rsid w:val="00C2537E"/>
    <w:rsid w:val="00C42439"/>
    <w:rsid w:val="00C5165A"/>
    <w:rsid w:val="00C51A23"/>
    <w:rsid w:val="00C57C33"/>
    <w:rsid w:val="00C64B94"/>
    <w:rsid w:val="00C65129"/>
    <w:rsid w:val="00C92BA6"/>
    <w:rsid w:val="00CA75F7"/>
    <w:rsid w:val="00CE018D"/>
    <w:rsid w:val="00D55837"/>
    <w:rsid w:val="00D571DC"/>
    <w:rsid w:val="00D76461"/>
    <w:rsid w:val="00D91813"/>
    <w:rsid w:val="00D9587E"/>
    <w:rsid w:val="00D970DC"/>
    <w:rsid w:val="00DA0C6A"/>
    <w:rsid w:val="00DB4197"/>
    <w:rsid w:val="00DB7683"/>
    <w:rsid w:val="00DD05EA"/>
    <w:rsid w:val="00DD7025"/>
    <w:rsid w:val="00DF2B2E"/>
    <w:rsid w:val="00DF6299"/>
    <w:rsid w:val="00E179DB"/>
    <w:rsid w:val="00E220E7"/>
    <w:rsid w:val="00E24E51"/>
    <w:rsid w:val="00E330C1"/>
    <w:rsid w:val="00E334E4"/>
    <w:rsid w:val="00E603C2"/>
    <w:rsid w:val="00E67433"/>
    <w:rsid w:val="00E95BF1"/>
    <w:rsid w:val="00EA4CB9"/>
    <w:rsid w:val="00EC06E6"/>
    <w:rsid w:val="00ED32A1"/>
    <w:rsid w:val="00EE10F7"/>
    <w:rsid w:val="00EF5084"/>
    <w:rsid w:val="00EF515E"/>
    <w:rsid w:val="00F0425D"/>
    <w:rsid w:val="00F15AF4"/>
    <w:rsid w:val="00F46931"/>
    <w:rsid w:val="00F6114D"/>
    <w:rsid w:val="00F635DE"/>
    <w:rsid w:val="00F83C15"/>
    <w:rsid w:val="00FC29F8"/>
    <w:rsid w:val="00FE44A4"/>
    <w:rsid w:val="00FF06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7ECE8-1B39-4D0E-BE16-97521DF4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8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57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3587"/>
    <w:rPr>
      <w:sz w:val="20"/>
      <w:szCs w:val="20"/>
    </w:rPr>
  </w:style>
  <w:style w:type="character" w:customStyle="1" w:styleId="FootnoteTextChar">
    <w:name w:val="Footnote Text Char"/>
    <w:basedOn w:val="DefaultParagraphFont"/>
    <w:link w:val="FootnoteText"/>
    <w:uiPriority w:val="99"/>
    <w:semiHidden/>
    <w:rsid w:val="00253587"/>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253587"/>
    <w:rPr>
      <w:vertAlign w:val="superscript"/>
    </w:rPr>
  </w:style>
  <w:style w:type="paragraph" w:styleId="Title">
    <w:name w:val="Title"/>
    <w:basedOn w:val="Normal"/>
    <w:next w:val="Normal"/>
    <w:link w:val="TitleChar"/>
    <w:uiPriority w:val="10"/>
    <w:qFormat/>
    <w:rsid w:val="002535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587"/>
    <w:rPr>
      <w:rFonts w:asciiTheme="majorHAnsi" w:eastAsiaTheme="majorEastAsia" w:hAnsiTheme="majorHAnsi" w:cstheme="majorBidi"/>
      <w:color w:val="17365D" w:themeColor="text2" w:themeShade="BF"/>
      <w:spacing w:val="5"/>
      <w:kern w:val="28"/>
      <w:sz w:val="52"/>
      <w:szCs w:val="52"/>
      <w:lang w:val="en-GB" w:eastAsia="en-GB"/>
    </w:rPr>
  </w:style>
  <w:style w:type="table" w:styleId="TableGrid">
    <w:name w:val="Table Grid"/>
    <w:basedOn w:val="TableNormal"/>
    <w:uiPriority w:val="59"/>
    <w:rsid w:val="00BC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084"/>
    <w:pPr>
      <w:ind w:left="720"/>
      <w:contextualSpacing/>
    </w:pPr>
  </w:style>
  <w:style w:type="paragraph" w:styleId="Subtitle">
    <w:name w:val="Subtitle"/>
    <w:basedOn w:val="Normal"/>
    <w:next w:val="Normal"/>
    <w:link w:val="SubtitleChar"/>
    <w:uiPriority w:val="11"/>
    <w:qFormat/>
    <w:rsid w:val="001504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50491"/>
    <w:rPr>
      <w:rFonts w:asciiTheme="majorHAnsi" w:eastAsiaTheme="majorEastAsia" w:hAnsiTheme="majorHAnsi" w:cstheme="majorBidi"/>
      <w:i/>
      <w:iCs/>
      <w:color w:val="4F81BD" w:themeColor="accent1"/>
      <w:spacing w:val="15"/>
      <w:sz w:val="24"/>
      <w:szCs w:val="24"/>
      <w:lang w:val="en-GB" w:eastAsia="en-GB"/>
    </w:rPr>
  </w:style>
  <w:style w:type="paragraph" w:styleId="Header">
    <w:name w:val="header"/>
    <w:basedOn w:val="Normal"/>
    <w:link w:val="HeaderChar"/>
    <w:uiPriority w:val="99"/>
    <w:unhideWhenUsed/>
    <w:rsid w:val="00150491"/>
    <w:pPr>
      <w:tabs>
        <w:tab w:val="center" w:pos="4513"/>
        <w:tab w:val="right" w:pos="9026"/>
      </w:tabs>
    </w:pPr>
  </w:style>
  <w:style w:type="character" w:customStyle="1" w:styleId="HeaderChar">
    <w:name w:val="Header Char"/>
    <w:basedOn w:val="DefaultParagraphFont"/>
    <w:link w:val="Header"/>
    <w:uiPriority w:val="99"/>
    <w:rsid w:val="0015049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0491"/>
    <w:pPr>
      <w:tabs>
        <w:tab w:val="center" w:pos="4513"/>
        <w:tab w:val="right" w:pos="9026"/>
      </w:tabs>
    </w:pPr>
  </w:style>
  <w:style w:type="character" w:customStyle="1" w:styleId="FooterChar">
    <w:name w:val="Footer Char"/>
    <w:basedOn w:val="DefaultParagraphFont"/>
    <w:link w:val="Footer"/>
    <w:uiPriority w:val="99"/>
    <w:rsid w:val="0015049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2A1"/>
    <w:rPr>
      <w:rFonts w:ascii="Tahoma" w:hAnsi="Tahoma" w:cs="Tahoma"/>
      <w:sz w:val="16"/>
      <w:szCs w:val="16"/>
    </w:rPr>
  </w:style>
  <w:style w:type="character" w:customStyle="1" w:styleId="BalloonTextChar">
    <w:name w:val="Balloon Text Char"/>
    <w:basedOn w:val="DefaultParagraphFont"/>
    <w:link w:val="BalloonText"/>
    <w:uiPriority w:val="99"/>
    <w:semiHidden/>
    <w:rsid w:val="00ED32A1"/>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76EEE"/>
    <w:rPr>
      <w:sz w:val="16"/>
      <w:szCs w:val="16"/>
    </w:rPr>
  </w:style>
  <w:style w:type="paragraph" w:styleId="CommentText">
    <w:name w:val="annotation text"/>
    <w:basedOn w:val="Normal"/>
    <w:link w:val="CommentTextChar"/>
    <w:uiPriority w:val="99"/>
    <w:semiHidden/>
    <w:unhideWhenUsed/>
    <w:rsid w:val="00376EEE"/>
    <w:rPr>
      <w:sz w:val="20"/>
      <w:szCs w:val="20"/>
    </w:rPr>
  </w:style>
  <w:style w:type="character" w:customStyle="1" w:styleId="CommentTextChar">
    <w:name w:val="Comment Text Char"/>
    <w:basedOn w:val="DefaultParagraphFont"/>
    <w:link w:val="CommentText"/>
    <w:uiPriority w:val="99"/>
    <w:semiHidden/>
    <w:rsid w:val="00376EE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EEE"/>
    <w:rPr>
      <w:b/>
      <w:bCs/>
    </w:rPr>
  </w:style>
  <w:style w:type="character" w:customStyle="1" w:styleId="CommentSubjectChar">
    <w:name w:val="Comment Subject Char"/>
    <w:basedOn w:val="CommentTextChar"/>
    <w:link w:val="CommentSubject"/>
    <w:uiPriority w:val="99"/>
    <w:semiHidden/>
    <w:rsid w:val="00376EEE"/>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4575ED"/>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1B1A1D"/>
    <w:rPr>
      <w:color w:val="0000FF" w:themeColor="hyperlink"/>
      <w:u w:val="single"/>
    </w:rPr>
  </w:style>
  <w:style w:type="paragraph" w:styleId="Quote">
    <w:name w:val="Quote"/>
    <w:basedOn w:val="Normal"/>
    <w:next w:val="Normal"/>
    <w:link w:val="QuoteChar"/>
    <w:uiPriority w:val="29"/>
    <w:qFormat/>
    <w:rsid w:val="00D9587E"/>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9587E"/>
    <w:rPr>
      <w:rFonts w:eastAsiaTheme="minorEastAsia"/>
      <w:i/>
      <w:iCs/>
      <w:color w:val="000000" w:themeColor="text1"/>
      <w:lang w:val="en-US" w:eastAsia="ja-JP"/>
    </w:rPr>
  </w:style>
  <w:style w:type="paragraph" w:styleId="Caption">
    <w:name w:val="caption"/>
    <w:basedOn w:val="Normal"/>
    <w:next w:val="Normal"/>
    <w:uiPriority w:val="35"/>
    <w:unhideWhenUsed/>
    <w:qFormat/>
    <w:rsid w:val="00A13B21"/>
    <w:pPr>
      <w:spacing w:after="200"/>
    </w:pPr>
    <w:rPr>
      <w:b/>
      <w:bCs/>
      <w:color w:val="4F81BD" w:themeColor="accent1"/>
      <w:sz w:val="18"/>
      <w:szCs w:val="18"/>
    </w:rPr>
  </w:style>
  <w:style w:type="paragraph" w:customStyle="1" w:styleId="ADPLEVEL1">
    <w:name w:val="ADP LEVEL 1"/>
    <w:basedOn w:val="Normal"/>
    <w:link w:val="ADPLEVEL1Char"/>
    <w:qFormat/>
    <w:rsid w:val="00A13B21"/>
    <w:pPr>
      <w:tabs>
        <w:tab w:val="left" w:pos="180"/>
      </w:tabs>
      <w:spacing w:before="60" w:after="200" w:line="360" w:lineRule="auto"/>
      <w:jc w:val="both"/>
    </w:pPr>
    <w:rPr>
      <w:rFonts w:ascii="Arial" w:hAnsi="Arial" w:cs="Arial"/>
      <w:b/>
    </w:rPr>
  </w:style>
  <w:style w:type="paragraph" w:customStyle="1" w:styleId="ADPcontentbody">
    <w:name w:val="ADP content body"/>
    <w:basedOn w:val="Normal"/>
    <w:link w:val="ADPcontentbodyChar"/>
    <w:qFormat/>
    <w:rsid w:val="00A13B21"/>
    <w:pPr>
      <w:tabs>
        <w:tab w:val="left" w:pos="284"/>
      </w:tabs>
      <w:spacing w:line="360" w:lineRule="auto"/>
      <w:ind w:left="284"/>
      <w:jc w:val="both"/>
    </w:pPr>
    <w:rPr>
      <w:rFonts w:ascii="Arial" w:hAnsi="Arial" w:cs="Arial"/>
    </w:rPr>
  </w:style>
  <w:style w:type="character" w:customStyle="1" w:styleId="ADPLEVEL1Char">
    <w:name w:val="ADP LEVEL 1 Char"/>
    <w:basedOn w:val="DefaultParagraphFont"/>
    <w:link w:val="ADPLEVEL1"/>
    <w:rsid w:val="00A13B21"/>
    <w:rPr>
      <w:rFonts w:ascii="Arial" w:eastAsia="Times New Roman" w:hAnsi="Arial" w:cs="Arial"/>
      <w:b/>
      <w:sz w:val="24"/>
      <w:szCs w:val="24"/>
      <w:lang w:val="en-GB" w:eastAsia="en-GB"/>
    </w:rPr>
  </w:style>
  <w:style w:type="character" w:customStyle="1" w:styleId="ADPcontentbodyChar">
    <w:name w:val="ADP content body Char"/>
    <w:basedOn w:val="DefaultParagraphFont"/>
    <w:link w:val="ADPcontentbody"/>
    <w:rsid w:val="00A13B21"/>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270">
      <w:bodyDiv w:val="1"/>
      <w:marLeft w:val="0"/>
      <w:marRight w:val="0"/>
      <w:marTop w:val="0"/>
      <w:marBottom w:val="0"/>
      <w:divBdr>
        <w:top w:val="none" w:sz="0" w:space="0" w:color="auto"/>
        <w:left w:val="none" w:sz="0" w:space="0" w:color="auto"/>
        <w:bottom w:val="none" w:sz="0" w:space="0" w:color="auto"/>
        <w:right w:val="none" w:sz="0" w:space="0" w:color="auto"/>
      </w:divBdr>
      <w:divsChild>
        <w:div w:id="1206716374">
          <w:marLeft w:val="2074"/>
          <w:marRight w:val="0"/>
          <w:marTop w:val="96"/>
          <w:marBottom w:val="0"/>
          <w:divBdr>
            <w:top w:val="none" w:sz="0" w:space="0" w:color="auto"/>
            <w:left w:val="none" w:sz="0" w:space="0" w:color="auto"/>
            <w:bottom w:val="none" w:sz="0" w:space="0" w:color="auto"/>
            <w:right w:val="none" w:sz="0" w:space="0" w:color="auto"/>
          </w:divBdr>
        </w:div>
      </w:divsChild>
    </w:div>
    <w:div w:id="1169364098">
      <w:bodyDiv w:val="1"/>
      <w:marLeft w:val="0"/>
      <w:marRight w:val="0"/>
      <w:marTop w:val="0"/>
      <w:marBottom w:val="0"/>
      <w:divBdr>
        <w:top w:val="none" w:sz="0" w:space="0" w:color="auto"/>
        <w:left w:val="none" w:sz="0" w:space="0" w:color="auto"/>
        <w:bottom w:val="none" w:sz="0" w:space="0" w:color="auto"/>
        <w:right w:val="none" w:sz="0" w:space="0" w:color="auto"/>
      </w:divBdr>
      <w:divsChild>
        <w:div w:id="1530677255">
          <w:marLeft w:val="20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katzin\AppData\Local\Microsoft\Windows\Temporary%20Internet%20Files\Content.Outlook\LBB7CTD9\www.irb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9ED8-D000-42A7-8623-BD300862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Katzin</dc:creator>
  <cp:lastModifiedBy>Henriette Fortuin</cp:lastModifiedBy>
  <cp:revision>1</cp:revision>
  <cp:lastPrinted>2015-07-13T12:55:00Z</cp:lastPrinted>
  <dcterms:created xsi:type="dcterms:W3CDTF">2016-05-04T13:42:00Z</dcterms:created>
  <dcterms:modified xsi:type="dcterms:W3CDTF">2016-05-04T13:42:00Z</dcterms:modified>
</cp:coreProperties>
</file>